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2B96" w:rsidRPr="00976721" w:rsidRDefault="00502B96">
      <w:pPr>
        <w:rPr>
          <w:sz w:val="20"/>
          <w:szCs w:val="20"/>
          <w:lang w:val="en-US"/>
        </w:rPr>
      </w:pPr>
    </w:p>
    <w:p w:rsidR="00502B96" w:rsidRPr="00976721" w:rsidRDefault="00502B96">
      <w:pPr>
        <w:rPr>
          <w:rFonts w:ascii="Verdana" w:hAnsi="Verdana"/>
          <w:sz w:val="20"/>
          <w:szCs w:val="20"/>
          <w:lang w:val="en-US"/>
        </w:rPr>
      </w:pPr>
    </w:p>
    <w:p w:rsidR="00D371C2" w:rsidRPr="00976721" w:rsidRDefault="00976721" w:rsidP="00976721">
      <w:pPr>
        <w:jc w:val="center"/>
        <w:rPr>
          <w:rFonts w:ascii="Verdana" w:hAnsi="Verdana" w:cs="Arial"/>
          <w:b/>
          <w:sz w:val="20"/>
          <w:szCs w:val="20"/>
          <w:lang w:val="el-GR"/>
        </w:rPr>
      </w:pPr>
      <w:r w:rsidRPr="00976721">
        <w:rPr>
          <w:rFonts w:ascii="Verdana" w:hAnsi="Verdana" w:cs="Arial"/>
          <w:b/>
          <w:sz w:val="20"/>
          <w:szCs w:val="20"/>
          <w:lang w:val="el-GR"/>
        </w:rPr>
        <w:t>Δελτίο Τύπου</w:t>
      </w:r>
    </w:p>
    <w:p w:rsidR="00502B96" w:rsidRPr="00976721" w:rsidRDefault="00502B96">
      <w:pPr>
        <w:jc w:val="right"/>
        <w:rPr>
          <w:rFonts w:ascii="Verdana" w:hAnsi="Verdana"/>
          <w:sz w:val="20"/>
          <w:szCs w:val="20"/>
          <w:lang w:val="el-GR"/>
        </w:rPr>
      </w:pPr>
    </w:p>
    <w:p w:rsidR="00976721" w:rsidRPr="003F684B" w:rsidRDefault="00976721" w:rsidP="00976721">
      <w:pPr>
        <w:jc w:val="both"/>
        <w:rPr>
          <w:rFonts w:ascii="Verdana" w:hAnsi="Verdana"/>
          <w:sz w:val="20"/>
          <w:szCs w:val="20"/>
          <w:lang w:val="el-GR"/>
        </w:rPr>
      </w:pPr>
      <w:r w:rsidRPr="00976721">
        <w:rPr>
          <w:rFonts w:ascii="Verdana" w:hAnsi="Verdana"/>
          <w:sz w:val="20"/>
          <w:szCs w:val="20"/>
          <w:lang w:val="el-GR"/>
        </w:rPr>
        <w:t xml:space="preserve">Ο </w:t>
      </w:r>
      <w:r w:rsidRPr="00976721">
        <w:rPr>
          <w:rFonts w:ascii="Verdana" w:hAnsi="Verdana"/>
          <w:b/>
          <w:sz w:val="20"/>
          <w:szCs w:val="20"/>
          <w:lang w:val="el-GR"/>
        </w:rPr>
        <w:t xml:space="preserve">μητρικός θηλασμός είναι η μόνη κατάλληλη τροφή </w:t>
      </w:r>
      <w:r w:rsidR="003F684B">
        <w:rPr>
          <w:rFonts w:ascii="Verdana" w:hAnsi="Verdana"/>
          <w:sz w:val="20"/>
          <w:szCs w:val="20"/>
          <w:lang w:val="el-GR"/>
        </w:rPr>
        <w:t>για τα βρέφη,γιατί:</w:t>
      </w:r>
    </w:p>
    <w:p w:rsidR="00976721" w:rsidRPr="00976721" w:rsidRDefault="00976721" w:rsidP="00976721">
      <w:pPr>
        <w:jc w:val="both"/>
        <w:rPr>
          <w:rFonts w:ascii="Verdana" w:hAnsi="Verdana"/>
          <w:iCs/>
          <w:sz w:val="20"/>
          <w:szCs w:val="20"/>
          <w:lang w:val="el-GR"/>
        </w:rPr>
      </w:pPr>
    </w:p>
    <w:p w:rsidR="00976721" w:rsidRPr="003F684B" w:rsidRDefault="00976721" w:rsidP="00976721">
      <w:pPr>
        <w:pStyle w:val="Heading1"/>
        <w:numPr>
          <w:ilvl w:val="0"/>
          <w:numId w:val="0"/>
        </w:numPr>
        <w:ind w:left="432" w:hanging="432"/>
        <w:rPr>
          <w:rFonts w:ascii="Verdana" w:hAnsi="Verdana"/>
          <w:b w:val="0"/>
          <w:sz w:val="20"/>
          <w:lang w:val="el-GR"/>
        </w:rPr>
      </w:pPr>
      <w:r w:rsidRPr="00976721">
        <w:rPr>
          <w:rFonts w:ascii="Verdana" w:hAnsi="Verdana"/>
          <w:b w:val="0"/>
          <w:sz w:val="20"/>
          <w:lang w:val="el-GR"/>
        </w:rPr>
        <w:t xml:space="preserve">Εξασφαλίζει τη σωστή σωματική </w:t>
      </w:r>
      <w:r w:rsidR="003F684B">
        <w:rPr>
          <w:rFonts w:ascii="Verdana" w:hAnsi="Verdana"/>
          <w:b w:val="0"/>
          <w:sz w:val="20"/>
          <w:lang w:val="el-GR"/>
        </w:rPr>
        <w:t>και ψυχική ανάπτυξη των βρεφών.</w:t>
      </w:r>
    </w:p>
    <w:p w:rsidR="00976721" w:rsidRPr="00976721" w:rsidRDefault="00976721" w:rsidP="00976721">
      <w:pPr>
        <w:rPr>
          <w:rFonts w:ascii="Verdana" w:hAnsi="Verdana"/>
          <w:sz w:val="20"/>
          <w:szCs w:val="20"/>
          <w:lang w:val="el-GR"/>
        </w:rPr>
      </w:pPr>
    </w:p>
    <w:p w:rsidR="00976721" w:rsidRPr="003F684B" w:rsidRDefault="00976721" w:rsidP="00976721">
      <w:pPr>
        <w:pStyle w:val="Heading1"/>
        <w:rPr>
          <w:rFonts w:ascii="Verdana" w:hAnsi="Verdana"/>
          <w:b w:val="0"/>
          <w:sz w:val="20"/>
          <w:lang w:val="el-GR"/>
        </w:rPr>
      </w:pPr>
      <w:r w:rsidRPr="003F684B">
        <w:rPr>
          <w:rFonts w:ascii="Verdana" w:hAnsi="Verdana"/>
          <w:b w:val="0"/>
          <w:sz w:val="20"/>
          <w:lang w:val="el-GR"/>
        </w:rPr>
        <w:t xml:space="preserve">Ενισχύει το δεσμό </w:t>
      </w:r>
      <w:r w:rsidR="003F684B" w:rsidRPr="003F684B">
        <w:rPr>
          <w:rFonts w:ascii="Verdana" w:hAnsi="Verdana"/>
          <w:b w:val="0"/>
          <w:sz w:val="20"/>
          <w:lang w:val="el-GR"/>
        </w:rPr>
        <w:t>μητέρας και παιδιού.</w:t>
      </w:r>
    </w:p>
    <w:p w:rsidR="00976721" w:rsidRPr="003F684B" w:rsidRDefault="00976721" w:rsidP="00976721">
      <w:pPr>
        <w:jc w:val="both"/>
        <w:rPr>
          <w:rFonts w:ascii="Verdana" w:hAnsi="Verdana"/>
          <w:sz w:val="20"/>
          <w:szCs w:val="20"/>
          <w:lang w:val="el-GR"/>
        </w:rPr>
      </w:pPr>
    </w:p>
    <w:p w:rsidR="00976721" w:rsidRPr="00976721" w:rsidRDefault="008C336F" w:rsidP="00976721">
      <w:pPr>
        <w:pStyle w:val="Heading1"/>
        <w:rPr>
          <w:rFonts w:ascii="Verdana" w:hAnsi="Verdana"/>
          <w:b w:val="0"/>
          <w:sz w:val="20"/>
        </w:rPr>
      </w:pPr>
      <w:r>
        <w:rPr>
          <w:rFonts w:ascii="Verdana" w:hAnsi="Verdana"/>
          <w:b w:val="0"/>
          <w:sz w:val="20"/>
        </w:rPr>
        <w:t>Προστατεύει</w:t>
      </w:r>
      <w:r>
        <w:rPr>
          <w:rFonts w:ascii="Verdana" w:hAnsi="Verdana"/>
          <w:b w:val="0"/>
          <w:sz w:val="20"/>
          <w:lang w:val="el-GR"/>
        </w:rPr>
        <w:t xml:space="preserve"> </w:t>
      </w:r>
      <w:r w:rsidR="00976721" w:rsidRPr="00976721">
        <w:rPr>
          <w:rFonts w:ascii="Verdana" w:hAnsi="Verdana"/>
          <w:b w:val="0"/>
          <w:sz w:val="20"/>
        </w:rPr>
        <w:t>από τις λοιμώξεις.</w:t>
      </w:r>
    </w:p>
    <w:p w:rsidR="00976721" w:rsidRPr="00976721" w:rsidRDefault="00976721" w:rsidP="00976721">
      <w:pPr>
        <w:rPr>
          <w:rFonts w:ascii="Verdana" w:hAnsi="Verdana"/>
          <w:sz w:val="20"/>
          <w:szCs w:val="20"/>
          <w:lang w:val="en-US"/>
        </w:rPr>
      </w:pPr>
    </w:p>
    <w:p w:rsidR="00976721" w:rsidRPr="003F684B" w:rsidRDefault="003F684B" w:rsidP="00976721">
      <w:pPr>
        <w:pStyle w:val="Heading1"/>
        <w:numPr>
          <w:ilvl w:val="0"/>
          <w:numId w:val="0"/>
        </w:numPr>
        <w:rPr>
          <w:rFonts w:ascii="Verdana" w:hAnsi="Verdana"/>
          <w:b w:val="0"/>
          <w:sz w:val="20"/>
          <w:lang w:val="el-GR"/>
        </w:rPr>
      </w:pPr>
      <w:r w:rsidRPr="003F684B">
        <w:rPr>
          <w:rFonts w:ascii="Verdana" w:hAnsi="Verdana"/>
          <w:b w:val="0"/>
          <w:sz w:val="20"/>
          <w:lang w:val="el-GR"/>
        </w:rPr>
        <w:t>Προλαμβάνει από τις αλλεργίες.</w:t>
      </w:r>
    </w:p>
    <w:p w:rsidR="00976721" w:rsidRPr="003F684B" w:rsidRDefault="00976721" w:rsidP="00976721">
      <w:pPr>
        <w:jc w:val="both"/>
        <w:rPr>
          <w:rFonts w:ascii="Verdana" w:hAnsi="Verdana"/>
          <w:sz w:val="20"/>
          <w:szCs w:val="20"/>
          <w:lang w:val="el-GR"/>
        </w:rPr>
      </w:pPr>
    </w:p>
    <w:p w:rsidR="00976721" w:rsidRPr="003F684B" w:rsidRDefault="00976721" w:rsidP="00976721">
      <w:pPr>
        <w:pStyle w:val="Heading1"/>
        <w:numPr>
          <w:ilvl w:val="0"/>
          <w:numId w:val="0"/>
        </w:numPr>
        <w:rPr>
          <w:rFonts w:ascii="Verdana" w:hAnsi="Verdana"/>
          <w:b w:val="0"/>
          <w:sz w:val="20"/>
          <w:lang w:val="el-GR"/>
        </w:rPr>
      </w:pPr>
      <w:r w:rsidRPr="003F684B">
        <w:rPr>
          <w:rFonts w:ascii="Verdana" w:hAnsi="Verdana"/>
          <w:b w:val="0"/>
          <w:sz w:val="20"/>
          <w:lang w:val="el-GR"/>
        </w:rPr>
        <w:t>Μειώνει τον κίνδυνο εμφ</w:t>
      </w:r>
      <w:r w:rsidR="003F684B" w:rsidRPr="003F684B">
        <w:rPr>
          <w:rFonts w:ascii="Verdana" w:hAnsi="Verdana"/>
          <w:b w:val="0"/>
          <w:sz w:val="20"/>
          <w:lang w:val="el-GR"/>
        </w:rPr>
        <w:t>άνισης γυναικολογικού καρκίνου.</w:t>
      </w:r>
    </w:p>
    <w:p w:rsidR="00976721" w:rsidRPr="003F684B" w:rsidRDefault="00976721" w:rsidP="00976721">
      <w:pPr>
        <w:jc w:val="both"/>
        <w:rPr>
          <w:rFonts w:ascii="Verdana" w:hAnsi="Verdana"/>
          <w:sz w:val="20"/>
          <w:szCs w:val="20"/>
          <w:lang w:val="el-GR"/>
        </w:rPr>
      </w:pPr>
    </w:p>
    <w:p w:rsidR="00976721" w:rsidRPr="00976721" w:rsidRDefault="00976721" w:rsidP="00976721">
      <w:pPr>
        <w:jc w:val="both"/>
        <w:rPr>
          <w:rFonts w:ascii="Verdana" w:hAnsi="Verdana"/>
          <w:iCs/>
          <w:sz w:val="20"/>
          <w:szCs w:val="20"/>
          <w:lang w:val="el-GR"/>
        </w:rPr>
      </w:pPr>
      <w:r w:rsidRPr="00976721">
        <w:rPr>
          <w:rFonts w:ascii="Verdana" w:hAnsi="Verdana"/>
          <w:iCs/>
          <w:sz w:val="20"/>
          <w:szCs w:val="20"/>
          <w:lang w:val="el-GR"/>
        </w:rPr>
        <w:t>Επιπλέον</w:t>
      </w:r>
      <w:r w:rsidR="003F684B" w:rsidRPr="003F684B">
        <w:rPr>
          <w:rFonts w:ascii="Verdana" w:hAnsi="Verdana"/>
          <w:iCs/>
          <w:sz w:val="20"/>
          <w:szCs w:val="20"/>
          <w:lang w:val="el-GR"/>
        </w:rPr>
        <w:t>,</w:t>
      </w:r>
      <w:r w:rsidRPr="00976721">
        <w:rPr>
          <w:rFonts w:ascii="Verdana" w:hAnsi="Verdana"/>
          <w:iCs/>
          <w:sz w:val="20"/>
          <w:szCs w:val="20"/>
          <w:lang w:val="el-GR"/>
        </w:rPr>
        <w:t xml:space="preserve"> ο μητρικός θηλασμός </w:t>
      </w:r>
      <w:r w:rsidR="003F684B">
        <w:rPr>
          <w:rFonts w:ascii="Verdana" w:hAnsi="Verdana"/>
          <w:iCs/>
          <w:sz w:val="20"/>
          <w:szCs w:val="20"/>
          <w:lang w:val="el-GR"/>
        </w:rPr>
        <w:t xml:space="preserve">είναι ο πιό πρακτικός, ασφαλής </w:t>
      </w:r>
      <w:r w:rsidRPr="00976721">
        <w:rPr>
          <w:rFonts w:ascii="Verdana" w:hAnsi="Verdana"/>
          <w:iCs/>
          <w:sz w:val="20"/>
          <w:szCs w:val="20"/>
          <w:lang w:val="el-GR"/>
        </w:rPr>
        <w:t>και οικονομικός τρόπος ταΐσματος του μωρού.</w:t>
      </w:r>
    </w:p>
    <w:p w:rsidR="00976721" w:rsidRPr="00976721" w:rsidRDefault="00976721" w:rsidP="00976721">
      <w:pPr>
        <w:jc w:val="both"/>
        <w:rPr>
          <w:rFonts w:ascii="Verdana" w:hAnsi="Verdana"/>
          <w:iCs/>
          <w:sz w:val="20"/>
          <w:szCs w:val="20"/>
          <w:lang w:val="el-GR"/>
        </w:rPr>
      </w:pPr>
    </w:p>
    <w:p w:rsidR="00976721" w:rsidRPr="00976721" w:rsidRDefault="00976721" w:rsidP="00976721">
      <w:pPr>
        <w:jc w:val="both"/>
        <w:rPr>
          <w:rFonts w:ascii="Verdana" w:hAnsi="Verdana"/>
          <w:sz w:val="20"/>
          <w:szCs w:val="20"/>
          <w:lang w:val="el-GR"/>
        </w:rPr>
      </w:pPr>
      <w:r w:rsidRPr="00976721">
        <w:rPr>
          <w:rFonts w:ascii="Verdana" w:hAnsi="Verdana"/>
          <w:sz w:val="20"/>
          <w:szCs w:val="20"/>
          <w:lang w:val="el-GR"/>
        </w:rPr>
        <w:t>Παρόλα αυτά, τα ποσοστά του αποκλειστικού μητρικού θηλασμού κατά τους 6 πρώτους μήνες ζωής του βρέφους στη χ</w:t>
      </w:r>
      <w:r w:rsidR="003F684B">
        <w:rPr>
          <w:rFonts w:ascii="Verdana" w:hAnsi="Verdana"/>
          <w:sz w:val="20"/>
          <w:szCs w:val="20"/>
          <w:lang w:val="el-GR"/>
        </w:rPr>
        <w:t xml:space="preserve">ώρα μας, σύμφωνα με την Εθνική </w:t>
      </w:r>
      <w:r w:rsidRPr="00976721">
        <w:rPr>
          <w:rFonts w:ascii="Verdana" w:hAnsi="Verdana"/>
          <w:sz w:val="20"/>
          <w:szCs w:val="20"/>
          <w:lang w:val="el-GR"/>
        </w:rPr>
        <w:t>μελέτη του Ινστιτούτου Υγείας του Παιδιού, βρίσκονται σε πολύ χαμηλά επίπεδα</w:t>
      </w:r>
      <w:r>
        <w:rPr>
          <w:rFonts w:ascii="Verdana" w:hAnsi="Verdana"/>
          <w:sz w:val="20"/>
          <w:szCs w:val="20"/>
          <w:lang w:val="el-GR"/>
        </w:rPr>
        <w:t>.</w:t>
      </w:r>
    </w:p>
    <w:p w:rsidR="00976721" w:rsidRPr="00976721" w:rsidRDefault="00976721" w:rsidP="00976721">
      <w:pPr>
        <w:jc w:val="both"/>
        <w:rPr>
          <w:rFonts w:ascii="Verdana" w:hAnsi="Verdana"/>
          <w:sz w:val="20"/>
          <w:szCs w:val="20"/>
          <w:lang w:val="el-GR"/>
        </w:rPr>
      </w:pPr>
    </w:p>
    <w:p w:rsidR="00976721" w:rsidRPr="00976721" w:rsidRDefault="00976721" w:rsidP="00976721">
      <w:pPr>
        <w:jc w:val="both"/>
        <w:rPr>
          <w:rFonts w:ascii="Verdana" w:hAnsi="Verdana"/>
          <w:sz w:val="20"/>
          <w:szCs w:val="20"/>
          <w:lang w:val="el-GR"/>
        </w:rPr>
      </w:pPr>
      <w:r w:rsidRPr="00976721">
        <w:rPr>
          <w:rFonts w:ascii="Verdana" w:hAnsi="Verdana"/>
          <w:sz w:val="20"/>
          <w:szCs w:val="20"/>
          <w:lang w:val="el-GR"/>
        </w:rPr>
        <w:t>Έτσι</w:t>
      </w:r>
      <w:r w:rsidR="003F684B" w:rsidRPr="003F684B">
        <w:rPr>
          <w:rFonts w:ascii="Verdana" w:hAnsi="Verdana"/>
          <w:sz w:val="20"/>
          <w:szCs w:val="20"/>
          <w:lang w:val="el-GR"/>
        </w:rPr>
        <w:t>,</w:t>
      </w:r>
      <w:r w:rsidRPr="00976721">
        <w:rPr>
          <w:rFonts w:ascii="Verdana" w:hAnsi="Verdana"/>
          <w:sz w:val="20"/>
          <w:szCs w:val="20"/>
          <w:lang w:val="el-GR"/>
        </w:rPr>
        <w:t xml:space="preserve"> παρά την πρόθεση και την </w:t>
      </w:r>
      <w:r w:rsidRPr="00976721">
        <w:rPr>
          <w:rFonts w:ascii="Verdana" w:hAnsi="Verdana"/>
          <w:b/>
          <w:sz w:val="20"/>
          <w:szCs w:val="20"/>
          <w:lang w:val="el-GR"/>
        </w:rPr>
        <w:t xml:space="preserve">προσπάθεια έναρξης </w:t>
      </w:r>
      <w:r>
        <w:rPr>
          <w:rFonts w:ascii="Verdana" w:hAnsi="Verdana"/>
          <w:b/>
          <w:sz w:val="20"/>
          <w:szCs w:val="20"/>
          <w:lang w:val="el-GR"/>
        </w:rPr>
        <w:t xml:space="preserve">θηλασμού σε 89% των λεχωίδων, </w:t>
      </w:r>
      <w:r w:rsidRPr="00976721">
        <w:rPr>
          <w:rFonts w:ascii="Verdana" w:hAnsi="Verdana"/>
          <w:b/>
          <w:sz w:val="20"/>
          <w:szCs w:val="20"/>
          <w:lang w:val="el-GR"/>
        </w:rPr>
        <w:t>μόλις το 41% των γυναικών θήλασε αποκλειστικά τ</w:t>
      </w:r>
      <w:r w:rsidR="003F684B">
        <w:rPr>
          <w:rFonts w:ascii="Verdana" w:hAnsi="Verdana"/>
          <w:b/>
          <w:sz w:val="20"/>
          <w:szCs w:val="20"/>
          <w:lang w:val="el-GR"/>
        </w:rPr>
        <w:t>ην πρώτη ημέρα ζωής του βρέφους,</w:t>
      </w:r>
      <w:r w:rsidRPr="00976721">
        <w:rPr>
          <w:rFonts w:ascii="Verdana" w:hAnsi="Verdana"/>
          <w:b/>
          <w:sz w:val="20"/>
          <w:szCs w:val="20"/>
          <w:lang w:val="el-GR"/>
        </w:rPr>
        <w:t xml:space="preserve"> </w:t>
      </w:r>
      <w:r w:rsidR="003F684B">
        <w:rPr>
          <w:rFonts w:ascii="Verdana" w:hAnsi="Verdana"/>
          <w:b/>
          <w:sz w:val="20"/>
          <w:szCs w:val="20"/>
          <w:lang w:val="el-GR"/>
        </w:rPr>
        <w:t>τ</w:t>
      </w:r>
      <w:r w:rsidR="003F684B">
        <w:rPr>
          <w:rFonts w:ascii="Verdana" w:hAnsi="Verdana"/>
          <w:b/>
          <w:sz w:val="20"/>
          <w:szCs w:val="20"/>
          <w:lang w:val="en-US"/>
        </w:rPr>
        <w:t>o</w:t>
      </w:r>
      <w:r w:rsidR="003F684B" w:rsidRPr="003F684B">
        <w:rPr>
          <w:rFonts w:ascii="Verdana" w:hAnsi="Verdana"/>
          <w:b/>
          <w:sz w:val="20"/>
          <w:szCs w:val="20"/>
          <w:lang w:val="el-GR"/>
        </w:rPr>
        <w:t xml:space="preserve"> </w:t>
      </w:r>
      <w:r w:rsidRPr="00976721">
        <w:rPr>
          <w:rFonts w:ascii="Verdana" w:hAnsi="Verdana"/>
          <w:b/>
          <w:sz w:val="20"/>
          <w:szCs w:val="20"/>
          <w:lang w:val="el-GR"/>
        </w:rPr>
        <w:t>21% στο τέλος του πρώτου μήνα</w:t>
      </w:r>
      <w:r w:rsidR="003F684B" w:rsidRPr="003F684B">
        <w:rPr>
          <w:rFonts w:ascii="Verdana" w:hAnsi="Verdana"/>
          <w:b/>
          <w:sz w:val="20"/>
          <w:szCs w:val="20"/>
          <w:lang w:val="el-GR"/>
        </w:rPr>
        <w:t>,</w:t>
      </w:r>
      <w:r w:rsidRPr="00976721">
        <w:rPr>
          <w:rFonts w:ascii="Verdana" w:hAnsi="Verdana"/>
          <w:b/>
          <w:sz w:val="20"/>
          <w:szCs w:val="20"/>
          <w:lang w:val="el-GR"/>
        </w:rPr>
        <w:t xml:space="preserve"> </w:t>
      </w:r>
      <w:r>
        <w:rPr>
          <w:rFonts w:ascii="Verdana" w:hAnsi="Verdana"/>
          <w:b/>
          <w:sz w:val="20"/>
          <w:szCs w:val="20"/>
          <w:lang w:val="el-GR"/>
        </w:rPr>
        <w:t xml:space="preserve">11% στο τέλος του 3ου μήνα και </w:t>
      </w:r>
      <w:r w:rsidR="003F684B">
        <w:rPr>
          <w:rFonts w:ascii="Verdana" w:hAnsi="Verdana"/>
          <w:b/>
          <w:sz w:val="20"/>
          <w:szCs w:val="20"/>
          <w:lang w:val="el-GR"/>
        </w:rPr>
        <w:t xml:space="preserve"> μόνο </w:t>
      </w:r>
      <w:r w:rsidRPr="00976721">
        <w:rPr>
          <w:rFonts w:ascii="Verdana" w:hAnsi="Verdana"/>
          <w:b/>
          <w:sz w:val="20"/>
          <w:szCs w:val="20"/>
          <w:lang w:val="el-GR"/>
        </w:rPr>
        <w:t>0,9% στον 6ο μήνα.</w:t>
      </w:r>
    </w:p>
    <w:p w:rsidR="00976721" w:rsidRPr="00976721" w:rsidRDefault="00976721" w:rsidP="00976721">
      <w:pPr>
        <w:jc w:val="both"/>
        <w:rPr>
          <w:rFonts w:ascii="Verdana" w:hAnsi="Verdana"/>
          <w:iCs/>
          <w:sz w:val="20"/>
          <w:szCs w:val="20"/>
          <w:lang w:val="el-GR"/>
        </w:rPr>
      </w:pPr>
    </w:p>
    <w:p w:rsidR="00976721" w:rsidRPr="00976721" w:rsidRDefault="00976721" w:rsidP="00976721">
      <w:pPr>
        <w:jc w:val="both"/>
        <w:rPr>
          <w:rFonts w:ascii="Verdana" w:hAnsi="Verdana"/>
          <w:iCs/>
          <w:sz w:val="20"/>
          <w:szCs w:val="20"/>
          <w:lang w:val="el-GR"/>
        </w:rPr>
      </w:pPr>
      <w:r>
        <w:rPr>
          <w:rFonts w:ascii="Verdana" w:hAnsi="Verdana"/>
          <w:iCs/>
          <w:sz w:val="20"/>
          <w:szCs w:val="20"/>
          <w:lang w:val="el-GR"/>
        </w:rPr>
        <w:t xml:space="preserve">Με αυτό το δεδομένο, </w:t>
      </w:r>
      <w:r w:rsidRPr="00976721">
        <w:rPr>
          <w:rFonts w:ascii="Verdana" w:hAnsi="Verdana"/>
          <w:iCs/>
          <w:sz w:val="20"/>
          <w:szCs w:val="20"/>
          <w:lang w:val="el-GR"/>
        </w:rPr>
        <w:t>το Ινστιτούτο Υγείας του Παιδιού αναλαμβάνει πρωτοβουλία για την προσπάθεια μετακίνησης της ελληνικής κουλτούρας, στάσης και πρακτικής</w:t>
      </w:r>
      <w:r>
        <w:rPr>
          <w:rFonts w:ascii="Verdana" w:hAnsi="Verdana"/>
          <w:iCs/>
          <w:sz w:val="20"/>
          <w:szCs w:val="20"/>
          <w:lang w:val="el-GR"/>
        </w:rPr>
        <w:t xml:space="preserve"> απέναντι στο μητρικό θηλασμό,</w:t>
      </w:r>
      <w:r w:rsidRPr="00976721">
        <w:rPr>
          <w:rFonts w:ascii="Verdana" w:hAnsi="Verdana"/>
          <w:iCs/>
          <w:sz w:val="20"/>
          <w:szCs w:val="20"/>
          <w:lang w:val="el-GR"/>
        </w:rPr>
        <w:t xml:space="preserve"> με την συγχρηματοδότηση από το ΕΣΠΑ του διετούς </w:t>
      </w:r>
      <w:r>
        <w:rPr>
          <w:rFonts w:ascii="Verdana" w:hAnsi="Verdana"/>
          <w:iCs/>
          <w:sz w:val="20"/>
          <w:szCs w:val="20"/>
          <w:lang w:val="el-GR"/>
        </w:rPr>
        <w:t>έ</w:t>
      </w:r>
      <w:r w:rsidRPr="00976721">
        <w:rPr>
          <w:rFonts w:ascii="Verdana" w:hAnsi="Verdana"/>
          <w:iCs/>
          <w:sz w:val="20"/>
          <w:szCs w:val="20"/>
          <w:lang w:val="el-GR"/>
        </w:rPr>
        <w:t>ργου “</w:t>
      </w:r>
      <w:r w:rsidRPr="00976721">
        <w:rPr>
          <w:rFonts w:ascii="Verdana" w:hAnsi="Verdana"/>
          <w:iCs/>
          <w:sz w:val="20"/>
          <w:szCs w:val="20"/>
          <w:lang w:val="en-US"/>
        </w:rPr>
        <w:t>A</w:t>
      </w:r>
      <w:r w:rsidRPr="00976721">
        <w:rPr>
          <w:rFonts w:ascii="Verdana" w:hAnsi="Verdana"/>
          <w:iCs/>
          <w:sz w:val="20"/>
          <w:szCs w:val="20"/>
          <w:lang w:val="el-GR"/>
        </w:rPr>
        <w:t>ΛΚΥΟΝΗ ΕΘΝΙΚΗ ΠΡΩΤΟΒΟΥΛΙΑ ΠΡΟΑΓΩΓΗΣ ΤΟΥ ΜΗΤΡΙΚΟΥ ΘΗΛΑΣΜΟΥ”.</w:t>
      </w:r>
    </w:p>
    <w:p w:rsidR="00976721" w:rsidRPr="00976721" w:rsidRDefault="00976721" w:rsidP="00976721">
      <w:pPr>
        <w:jc w:val="both"/>
        <w:rPr>
          <w:rFonts w:ascii="Verdana" w:hAnsi="Verdana"/>
          <w:iCs/>
          <w:sz w:val="20"/>
          <w:szCs w:val="20"/>
          <w:lang w:val="el-GR"/>
        </w:rPr>
      </w:pPr>
    </w:p>
    <w:p w:rsidR="00976721" w:rsidRPr="00976721" w:rsidRDefault="00976721" w:rsidP="00976721">
      <w:pPr>
        <w:jc w:val="both"/>
        <w:rPr>
          <w:rFonts w:ascii="Verdana" w:hAnsi="Verdana"/>
          <w:sz w:val="20"/>
          <w:szCs w:val="20"/>
          <w:lang w:val="el-GR"/>
        </w:rPr>
      </w:pPr>
      <w:r w:rsidRPr="00976721">
        <w:rPr>
          <w:rFonts w:ascii="Verdana" w:hAnsi="Verdana"/>
          <w:sz w:val="20"/>
          <w:szCs w:val="20"/>
          <w:lang w:val="el-GR"/>
        </w:rPr>
        <w:t>Στα πλα</w:t>
      </w:r>
      <w:r>
        <w:rPr>
          <w:rFonts w:ascii="Verdana" w:hAnsi="Verdana"/>
          <w:sz w:val="20"/>
          <w:szCs w:val="20"/>
          <w:lang w:val="el-GR"/>
        </w:rPr>
        <w:t xml:space="preserve">ίσια του έργου αυτού θα γίνουν </w:t>
      </w:r>
      <w:r w:rsidRPr="00976721">
        <w:rPr>
          <w:rFonts w:ascii="Verdana" w:hAnsi="Verdana"/>
          <w:sz w:val="20"/>
          <w:szCs w:val="20"/>
          <w:lang w:val="el-GR"/>
        </w:rPr>
        <w:t>συντονισμένες προσπάθειες υποστήριξης του μητρικού θηλασμού.</w:t>
      </w:r>
    </w:p>
    <w:p w:rsidR="00976721" w:rsidRPr="00976721" w:rsidRDefault="00976721" w:rsidP="00976721">
      <w:pPr>
        <w:jc w:val="both"/>
        <w:rPr>
          <w:rFonts w:ascii="Verdana" w:hAnsi="Verdana"/>
          <w:sz w:val="20"/>
          <w:szCs w:val="20"/>
          <w:lang w:val="el-GR"/>
        </w:rPr>
      </w:pPr>
    </w:p>
    <w:p w:rsidR="00976721" w:rsidRPr="00976721" w:rsidRDefault="00976721" w:rsidP="00976721">
      <w:pPr>
        <w:jc w:val="both"/>
        <w:rPr>
          <w:rFonts w:ascii="Verdana" w:hAnsi="Verdana"/>
          <w:sz w:val="20"/>
          <w:szCs w:val="20"/>
          <w:lang w:val="el-GR"/>
        </w:rPr>
      </w:pPr>
      <w:r w:rsidRPr="00976721">
        <w:rPr>
          <w:rFonts w:ascii="Verdana" w:hAnsi="Verdana"/>
          <w:sz w:val="20"/>
          <w:szCs w:val="20"/>
          <w:lang w:val="el-GR"/>
        </w:rPr>
        <w:t xml:space="preserve">Οι δράσεις </w:t>
      </w:r>
      <w:r>
        <w:rPr>
          <w:rFonts w:ascii="Verdana" w:hAnsi="Verdana"/>
          <w:sz w:val="20"/>
          <w:szCs w:val="20"/>
          <w:lang w:val="el-GR"/>
        </w:rPr>
        <w:t>μας</w:t>
      </w:r>
      <w:r w:rsidR="003F684B">
        <w:rPr>
          <w:rFonts w:ascii="Verdana" w:hAnsi="Verdana"/>
          <w:sz w:val="20"/>
          <w:szCs w:val="20"/>
          <w:lang w:val="el-GR"/>
        </w:rPr>
        <w:t>,</w:t>
      </w:r>
      <w:r>
        <w:rPr>
          <w:rFonts w:ascii="Verdana" w:hAnsi="Verdana"/>
          <w:sz w:val="20"/>
          <w:szCs w:val="20"/>
          <w:lang w:val="el-GR"/>
        </w:rPr>
        <w:t xml:space="preserve"> με γενικό σύνθημα </w:t>
      </w:r>
      <w:r w:rsidRPr="00976721">
        <w:rPr>
          <w:rFonts w:ascii="Verdana" w:hAnsi="Verdana"/>
          <w:b/>
          <w:sz w:val="20"/>
          <w:szCs w:val="20"/>
          <w:lang w:val="el-GR"/>
        </w:rPr>
        <w:t>«</w:t>
      </w:r>
      <w:r w:rsidRPr="00976721">
        <w:rPr>
          <w:rFonts w:ascii="Verdana" w:hAnsi="Verdana"/>
          <w:b/>
          <w:i/>
          <w:sz w:val="20"/>
          <w:szCs w:val="20"/>
          <w:lang w:val="el-GR"/>
        </w:rPr>
        <w:t>Επιλέγω Θηλασμό»</w:t>
      </w:r>
      <w:r w:rsidR="003F684B">
        <w:rPr>
          <w:rFonts w:ascii="Verdana" w:hAnsi="Verdana"/>
          <w:b/>
          <w:i/>
          <w:sz w:val="20"/>
          <w:szCs w:val="20"/>
          <w:lang w:val="el-GR"/>
        </w:rPr>
        <w:t>,</w:t>
      </w:r>
      <w:r>
        <w:rPr>
          <w:rFonts w:ascii="Verdana" w:hAnsi="Verdana"/>
          <w:sz w:val="20"/>
          <w:szCs w:val="20"/>
          <w:lang w:val="el-GR"/>
        </w:rPr>
        <w:t xml:space="preserve"> </w:t>
      </w:r>
      <w:r w:rsidRPr="00976721">
        <w:rPr>
          <w:rFonts w:ascii="Verdana" w:hAnsi="Verdana"/>
          <w:sz w:val="20"/>
          <w:szCs w:val="20"/>
          <w:lang w:val="el-GR"/>
        </w:rPr>
        <w:t xml:space="preserve">απευθύνονται σε </w:t>
      </w:r>
      <w:r w:rsidRPr="00976721">
        <w:rPr>
          <w:rFonts w:ascii="Verdana" w:hAnsi="Verdana"/>
          <w:b/>
          <w:sz w:val="20"/>
          <w:szCs w:val="20"/>
          <w:lang w:val="el-GR"/>
        </w:rPr>
        <w:t>οικογένειες, επαγγελματίες υγείας, δημόσιους και ιδιωτικούς φορείς</w:t>
      </w:r>
      <w:r w:rsidR="003F684B">
        <w:rPr>
          <w:rFonts w:ascii="Verdana" w:hAnsi="Verdana"/>
          <w:b/>
          <w:sz w:val="20"/>
          <w:szCs w:val="20"/>
          <w:lang w:val="el-GR"/>
        </w:rPr>
        <w:t>,</w:t>
      </w:r>
      <w:r w:rsidRPr="00976721">
        <w:rPr>
          <w:rFonts w:ascii="Verdana" w:hAnsi="Verdana"/>
          <w:sz w:val="20"/>
          <w:szCs w:val="20"/>
          <w:lang w:val="el-GR"/>
        </w:rPr>
        <w:t xml:space="preserve"> με τελικό στόχο την αύξηση του ποσοστού και της διά</w:t>
      </w:r>
      <w:r>
        <w:rPr>
          <w:rFonts w:ascii="Verdana" w:hAnsi="Verdana"/>
          <w:sz w:val="20"/>
          <w:szCs w:val="20"/>
          <w:lang w:val="el-GR"/>
        </w:rPr>
        <w:t>ρκειας του μητρικού θηλασμού</w:t>
      </w:r>
      <w:r w:rsidR="003F684B">
        <w:rPr>
          <w:rFonts w:ascii="Verdana" w:hAnsi="Verdana"/>
          <w:sz w:val="20"/>
          <w:szCs w:val="20"/>
          <w:lang w:val="el-GR"/>
        </w:rPr>
        <w:t xml:space="preserve"> στη χώρα μας</w:t>
      </w:r>
      <w:r>
        <w:rPr>
          <w:rFonts w:ascii="Verdana" w:hAnsi="Verdana"/>
          <w:sz w:val="20"/>
          <w:szCs w:val="20"/>
          <w:lang w:val="el-GR"/>
        </w:rPr>
        <w:t>.</w:t>
      </w:r>
    </w:p>
    <w:p w:rsidR="00976721" w:rsidRPr="00976721" w:rsidRDefault="00976721" w:rsidP="00976721">
      <w:pPr>
        <w:jc w:val="both"/>
        <w:rPr>
          <w:rFonts w:ascii="Verdana" w:hAnsi="Verdana"/>
          <w:sz w:val="20"/>
          <w:szCs w:val="20"/>
          <w:lang w:val="el-GR"/>
        </w:rPr>
      </w:pPr>
    </w:p>
    <w:p w:rsidR="00976721" w:rsidRPr="00976721" w:rsidRDefault="00976721" w:rsidP="00976721">
      <w:pPr>
        <w:jc w:val="both"/>
        <w:rPr>
          <w:rFonts w:ascii="Verdana" w:hAnsi="Verdana"/>
          <w:sz w:val="20"/>
          <w:szCs w:val="20"/>
          <w:lang w:val="el-GR"/>
        </w:rPr>
      </w:pPr>
      <w:r w:rsidRPr="00976721">
        <w:rPr>
          <w:rFonts w:ascii="Verdana" w:hAnsi="Verdana"/>
          <w:sz w:val="20"/>
          <w:szCs w:val="20"/>
          <w:lang w:val="el-GR"/>
        </w:rPr>
        <w:t xml:space="preserve">Επιπλέον, θα συμβάλει μέσω της δημιουργίας αρμόδιου συντονιστικού φορέα στην αξιολόγηση, την πιστοποίηση και την προώθηση του θεσμού των </w:t>
      </w:r>
      <w:r w:rsidRPr="00976721">
        <w:rPr>
          <w:rFonts w:ascii="Verdana" w:hAnsi="Verdana"/>
          <w:b/>
          <w:sz w:val="20"/>
          <w:szCs w:val="20"/>
          <w:lang w:val="el-GR"/>
        </w:rPr>
        <w:t>«Φιλικών προς τα Βρέφη Νοσοκομείων»</w:t>
      </w:r>
      <w:r w:rsidRPr="00976721">
        <w:rPr>
          <w:rFonts w:ascii="Verdana" w:hAnsi="Verdana"/>
          <w:sz w:val="20"/>
          <w:szCs w:val="20"/>
          <w:lang w:val="el-GR"/>
        </w:rPr>
        <w:t xml:space="preserve"> στη χώρα μας και του απρόσκοπτου μητρικού θ</w:t>
      </w:r>
      <w:r>
        <w:rPr>
          <w:rFonts w:ascii="Verdana" w:hAnsi="Verdana"/>
          <w:sz w:val="20"/>
          <w:szCs w:val="20"/>
          <w:lang w:val="el-GR"/>
        </w:rPr>
        <w:t xml:space="preserve">ηλασμού στα </w:t>
      </w:r>
      <w:r w:rsidRPr="00976721">
        <w:rPr>
          <w:rFonts w:ascii="Verdana" w:hAnsi="Verdana"/>
          <w:sz w:val="20"/>
          <w:szCs w:val="20"/>
          <w:lang w:val="el-GR"/>
        </w:rPr>
        <w:t>μαιευτήρια.</w:t>
      </w:r>
    </w:p>
    <w:p w:rsidR="002948DE" w:rsidRDefault="002948DE" w:rsidP="002948DE">
      <w:pPr>
        <w:rPr>
          <w:rFonts w:ascii="Verdana" w:hAnsi="Verdana"/>
          <w:sz w:val="20"/>
          <w:szCs w:val="20"/>
          <w:lang w:val="el-GR"/>
        </w:rPr>
      </w:pPr>
    </w:p>
    <w:p w:rsidR="002948DE" w:rsidRDefault="002948DE" w:rsidP="002948DE">
      <w:pPr>
        <w:jc w:val="right"/>
        <w:rPr>
          <w:rFonts w:ascii="Verdana" w:hAnsi="Verdana"/>
          <w:sz w:val="20"/>
          <w:szCs w:val="20"/>
          <w:lang w:val="el-GR"/>
        </w:rPr>
      </w:pPr>
      <w:r>
        <w:rPr>
          <w:rFonts w:ascii="Verdana" w:hAnsi="Verdana"/>
          <w:sz w:val="20"/>
          <w:szCs w:val="20"/>
          <w:lang w:val="el-GR"/>
        </w:rPr>
        <w:t>Η ομάδα έργου</w:t>
      </w:r>
    </w:p>
    <w:p w:rsidR="002948DE" w:rsidRDefault="002948DE" w:rsidP="002948DE">
      <w:pPr>
        <w:jc w:val="right"/>
        <w:rPr>
          <w:rFonts w:ascii="Verdana" w:hAnsi="Verdana"/>
          <w:i/>
          <w:sz w:val="16"/>
          <w:szCs w:val="16"/>
          <w:lang w:val="el-GR"/>
        </w:rPr>
      </w:pPr>
    </w:p>
    <w:p w:rsidR="002948DE" w:rsidRPr="002948DE" w:rsidRDefault="002948DE" w:rsidP="002948DE">
      <w:pPr>
        <w:jc w:val="right"/>
        <w:rPr>
          <w:rFonts w:ascii="Verdana" w:hAnsi="Verdana"/>
          <w:i/>
          <w:sz w:val="16"/>
          <w:szCs w:val="16"/>
          <w:lang w:val="el-GR"/>
        </w:rPr>
      </w:pPr>
      <w:r w:rsidRPr="002948DE">
        <w:rPr>
          <w:rFonts w:ascii="Verdana" w:hAnsi="Verdana"/>
          <w:i/>
          <w:sz w:val="16"/>
          <w:szCs w:val="16"/>
          <w:lang w:val="el-GR"/>
        </w:rPr>
        <w:t>(Παρακαλούμε για τη δημοσίευση)</w:t>
      </w:r>
    </w:p>
    <w:sectPr w:rsidR="002948DE" w:rsidRPr="002948DE" w:rsidSect="00502B96">
      <w:headerReference w:type="default" r:id="rId7"/>
      <w:footerReference w:type="default" r:id="rId8"/>
      <w:pgSz w:w="11906" w:h="16838"/>
      <w:pgMar w:top="1440" w:right="1466" w:bottom="899" w:left="1440" w:header="708" w:footer="2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5B5" w:rsidRDefault="004765B5">
      <w:r>
        <w:separator/>
      </w:r>
    </w:p>
  </w:endnote>
  <w:endnote w:type="continuationSeparator" w:id="0">
    <w:p w:rsidR="004765B5" w:rsidRDefault="004765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crosoft YaHei">
    <w:charset w:val="86"/>
    <w:family w:val="swiss"/>
    <w:pitch w:val="variable"/>
    <w:sig w:usb0="80000287" w:usb1="2A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96" w:rsidRDefault="00502B96">
    <w:pPr>
      <w:pBdr>
        <w:top w:val="single" w:sz="4" w:space="1" w:color="000000"/>
      </w:pBdr>
      <w:ind w:left="-993" w:right="-923"/>
      <w:jc w:val="center"/>
      <w:rPr>
        <w:rFonts w:ascii="Calibri" w:hAnsi="Calibri"/>
        <w:sz w:val="20"/>
        <w:szCs w:val="20"/>
        <w:lang w:val="en-US"/>
      </w:rPr>
    </w:pPr>
  </w:p>
  <w:p w:rsidR="00502B96" w:rsidRDefault="006F36BA">
    <w:pPr>
      <w:pBdr>
        <w:top w:val="single" w:sz="4" w:space="1" w:color="000000"/>
      </w:pBdr>
      <w:ind w:left="-993" w:right="-923"/>
      <w:jc w:val="center"/>
      <w:rPr>
        <w:rFonts w:ascii="Calibri" w:hAnsi="Calibri"/>
        <w:sz w:val="20"/>
        <w:szCs w:val="20"/>
        <w:lang w:val="el-GR"/>
      </w:rPr>
    </w:pPr>
    <w:r>
      <w:rPr>
        <w:rFonts w:ascii="Calibri" w:hAnsi="Calibri"/>
        <w:sz w:val="20"/>
        <w:szCs w:val="20"/>
        <w:lang w:val="el-GR"/>
      </w:rPr>
      <w:t>ΔΙΕΥΘΥΝΣΗ: ΜΕΣΟΓΕΙΩΝ 38-40, 115 27 ΑΘΗΝΑ – ΤΗΛ.: 210 77 01 557 – 210 77 99 244</w:t>
    </w:r>
  </w:p>
  <w:p w:rsidR="00502B96" w:rsidRPr="002948DE" w:rsidRDefault="006F36BA" w:rsidP="00D371C2">
    <w:pPr>
      <w:ind w:left="-993" w:right="-923"/>
      <w:jc w:val="center"/>
      <w:rPr>
        <w:rFonts w:ascii="Calibri" w:hAnsi="Calibri"/>
        <w:sz w:val="20"/>
        <w:szCs w:val="20"/>
        <w:lang w:val="en-US"/>
      </w:rPr>
    </w:pPr>
    <w:r>
      <w:rPr>
        <w:rFonts w:ascii="Calibri" w:hAnsi="Calibri"/>
        <w:sz w:val="20"/>
        <w:szCs w:val="20"/>
        <w:lang w:val="el-GR"/>
      </w:rPr>
      <w:t>Ε</w:t>
    </w:r>
    <w:r w:rsidRPr="002948DE">
      <w:rPr>
        <w:rFonts w:ascii="Calibri" w:hAnsi="Calibri"/>
        <w:sz w:val="20"/>
        <w:szCs w:val="20"/>
        <w:lang w:val="en-US"/>
      </w:rPr>
      <w:t>-</w:t>
    </w:r>
    <w:r>
      <w:rPr>
        <w:rFonts w:ascii="Calibri" w:hAnsi="Calibri"/>
        <w:sz w:val="20"/>
        <w:szCs w:val="20"/>
        <w:lang w:val="en-US"/>
      </w:rPr>
      <w:t>MAIL</w:t>
    </w:r>
    <w:r w:rsidRPr="002948DE">
      <w:rPr>
        <w:rFonts w:ascii="Calibri" w:hAnsi="Calibri"/>
        <w:sz w:val="20"/>
        <w:szCs w:val="20"/>
        <w:lang w:val="en-US"/>
      </w:rPr>
      <w:t xml:space="preserve">: </w:t>
    </w:r>
    <w:hyperlink r:id="rId1" w:history="1">
      <w:r>
        <w:rPr>
          <w:rStyle w:val="Hyperlink"/>
          <w:rFonts w:ascii="Calibri" w:hAnsi="Calibri"/>
        </w:rPr>
        <w:t>alkyoni</w:t>
      </w:r>
      <w:r w:rsidRPr="002948DE">
        <w:rPr>
          <w:rStyle w:val="Hyperlink"/>
          <w:rFonts w:ascii="Calibri" w:hAnsi="Calibri"/>
          <w:lang w:val="en-US"/>
        </w:rPr>
        <w:t>.</w:t>
      </w:r>
      <w:r>
        <w:rPr>
          <w:rStyle w:val="Hyperlink"/>
          <w:rFonts w:ascii="Calibri" w:hAnsi="Calibri"/>
        </w:rPr>
        <w:t>thilasmos</w:t>
      </w:r>
      <w:r w:rsidRPr="002948DE">
        <w:rPr>
          <w:rStyle w:val="Hyperlink"/>
          <w:rFonts w:ascii="Calibri" w:hAnsi="Calibri"/>
          <w:lang w:val="en-US"/>
        </w:rPr>
        <w:t>@</w:t>
      </w:r>
      <w:r>
        <w:rPr>
          <w:rStyle w:val="Hyperlink"/>
          <w:rFonts w:ascii="Calibri" w:hAnsi="Calibri"/>
        </w:rPr>
        <w:t>ich</w:t>
      </w:r>
      <w:r w:rsidRPr="002948DE">
        <w:rPr>
          <w:rStyle w:val="Hyperlink"/>
          <w:rFonts w:ascii="Calibri" w:hAnsi="Calibri"/>
          <w:lang w:val="en-US"/>
        </w:rPr>
        <w:t>.</w:t>
      </w:r>
      <w:r>
        <w:rPr>
          <w:rStyle w:val="Hyperlink"/>
          <w:rFonts w:ascii="Calibri" w:hAnsi="Calibri"/>
        </w:rPr>
        <w:t>gr</w:t>
      </w:r>
    </w:hyperlink>
    <w:r w:rsidRPr="002948DE">
      <w:rPr>
        <w:rFonts w:ascii="Calibri" w:hAnsi="Calibri"/>
        <w:sz w:val="20"/>
        <w:szCs w:val="20"/>
        <w:lang w:val="en-US"/>
      </w:rPr>
      <w:t xml:space="preserve"> &amp; </w:t>
    </w:r>
    <w:hyperlink r:id="rId2" w:history="1">
      <w:r>
        <w:rPr>
          <w:rStyle w:val="Hyperlink"/>
          <w:rFonts w:ascii="Calibri" w:hAnsi="Calibri"/>
        </w:rPr>
        <w:t>inchildh</w:t>
      </w:r>
      <w:r w:rsidRPr="002948DE">
        <w:rPr>
          <w:rStyle w:val="Hyperlink"/>
          <w:rFonts w:ascii="Calibri" w:hAnsi="Calibri"/>
          <w:lang w:val="en-US"/>
        </w:rPr>
        <w:t>@</w:t>
      </w:r>
      <w:r>
        <w:rPr>
          <w:rStyle w:val="Hyperlink"/>
          <w:rFonts w:ascii="Calibri" w:hAnsi="Calibri"/>
        </w:rPr>
        <w:t>otenet</w:t>
      </w:r>
      <w:r w:rsidRPr="002948DE">
        <w:rPr>
          <w:rStyle w:val="Hyperlink"/>
          <w:rFonts w:ascii="Calibri" w:hAnsi="Calibri"/>
          <w:lang w:val="en-US"/>
        </w:rPr>
        <w:t>.</w:t>
      </w:r>
      <w:proofErr w:type="spellStart"/>
      <w:r>
        <w:rPr>
          <w:rStyle w:val="Hyperlink"/>
          <w:rFonts w:ascii="Calibri" w:hAnsi="Calibri"/>
        </w:rPr>
        <w:t>gr</w:t>
      </w:r>
      <w:proofErr w:type="spellEnd"/>
    </w:hyperlink>
    <w:r w:rsidRPr="002948DE">
      <w:rPr>
        <w:rFonts w:ascii="Calibri" w:hAnsi="Calibri"/>
        <w:sz w:val="20"/>
        <w:szCs w:val="20"/>
        <w:lang w:val="en-US"/>
      </w:rPr>
      <w:t xml:space="preserve"> </w:t>
    </w:r>
  </w:p>
  <w:p w:rsidR="00502B96" w:rsidRPr="002948DE" w:rsidRDefault="00502B96">
    <w:pPr>
      <w:ind w:right="-923"/>
      <w:rPr>
        <w:sz w:val="16"/>
        <w:szCs w:val="16"/>
        <w:lang w:val="en-US"/>
      </w:rPr>
    </w:pPr>
  </w:p>
  <w:p w:rsidR="00502B96" w:rsidRDefault="000D1E31">
    <w:pPr>
      <w:ind w:left="-142" w:right="-72"/>
      <w:jc w:val="center"/>
      <w:rPr>
        <w:lang w:val="en-US"/>
      </w:rPr>
    </w:pPr>
    <w:r>
      <w:rPr>
        <w:noProof/>
        <w:lang w:val="en-US" w:eastAsia="en-US"/>
      </w:rPr>
      <w:drawing>
        <wp:inline distT="0" distB="0" distL="0" distR="0">
          <wp:extent cx="447675" cy="438150"/>
          <wp:effectExtent l="1905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36BA">
      <w:rPr>
        <w:lang w:val="en-US"/>
      </w:rPr>
      <w:tab/>
    </w:r>
    <w:r w:rsidR="006F36BA">
      <w:rPr>
        <w:lang w:val="en-US"/>
      </w:rPr>
      <w:tab/>
    </w:r>
    <w:r>
      <w:rPr>
        <w:noProof/>
        <w:lang w:val="en-US" w:eastAsia="en-US"/>
      </w:rPr>
      <w:drawing>
        <wp:inline distT="0" distB="0" distL="0" distR="0">
          <wp:extent cx="561975" cy="371475"/>
          <wp:effectExtent l="19050" t="0" r="952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3714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36BA">
      <w:rPr>
        <w:lang w:val="en-US"/>
      </w:rPr>
      <w:tab/>
    </w:r>
    <w:r w:rsidR="006F36BA">
      <w:rPr>
        <w:lang w:val="en-US"/>
      </w:rPr>
      <w:tab/>
    </w:r>
    <w:r>
      <w:rPr>
        <w:noProof/>
        <w:lang w:val="en-US" w:eastAsia="en-US"/>
      </w:rPr>
      <w:drawing>
        <wp:inline distT="0" distB="0" distL="0" distR="0">
          <wp:extent cx="685800" cy="438150"/>
          <wp:effectExtent l="1905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36BA">
      <w:rPr>
        <w:lang w:val="en-US"/>
      </w:rPr>
      <w:tab/>
    </w:r>
    <w:r w:rsidR="006F36BA">
      <w:rPr>
        <w:lang w:val="en-US"/>
      </w:rPr>
      <w:tab/>
    </w:r>
    <w:r>
      <w:rPr>
        <w:noProof/>
        <w:lang w:val="en-US" w:eastAsia="en-US"/>
      </w:rPr>
      <w:drawing>
        <wp:inline distT="0" distB="0" distL="0" distR="0">
          <wp:extent cx="523875" cy="409575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09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F36BA">
      <w:rPr>
        <w:lang w:val="en-US"/>
      </w:rPr>
      <w:tab/>
    </w:r>
    <w:r w:rsidR="006F36BA">
      <w:rPr>
        <w:lang w:val="en-US"/>
      </w:rPr>
      <w:tab/>
    </w:r>
    <w:r>
      <w:rPr>
        <w:noProof/>
        <w:lang w:val="en-US" w:eastAsia="en-US"/>
      </w:rPr>
      <w:drawing>
        <wp:inline distT="0" distB="0" distL="0" distR="0">
          <wp:extent cx="600075" cy="438150"/>
          <wp:effectExtent l="19050" t="0" r="952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4381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2B96" w:rsidRDefault="00502B96">
    <w:pPr>
      <w:ind w:right="-923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5B5" w:rsidRDefault="004765B5">
      <w:r>
        <w:separator/>
      </w:r>
    </w:p>
  </w:footnote>
  <w:footnote w:type="continuationSeparator" w:id="0">
    <w:p w:rsidR="004765B5" w:rsidRDefault="004765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B96" w:rsidRDefault="009129C3">
    <w:pPr>
      <w:ind w:left="-851" w:right="-740"/>
      <w:rPr>
        <w:sz w:val="12"/>
        <w:szCs w:val="12"/>
        <w:lang w:val="en-US"/>
      </w:rPr>
    </w:pPr>
    <w:r w:rsidRPr="009129C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1.2pt;margin-top:.6pt;width:333.65pt;height:41.9pt;z-index:-251658752;mso-wrap-distance-left:9.05pt;mso-wrap-distance-right:9.05pt" stroked="f">
          <v:fill color2="black"/>
          <v:textbox inset="0,0,0,0">
            <w:txbxContent>
              <w:p w:rsidR="00502B96" w:rsidRDefault="00502B96">
                <w:pPr>
                  <w:ind w:right="-740"/>
                  <w:rPr>
                    <w:sz w:val="12"/>
                    <w:szCs w:val="12"/>
                    <w:lang w:val="en-US"/>
                  </w:rPr>
                </w:pPr>
              </w:p>
              <w:p w:rsidR="00502B96" w:rsidRDefault="00502B96">
                <w:pPr>
                  <w:ind w:left="-284" w:right="-740"/>
                  <w:rPr>
                    <w:sz w:val="12"/>
                    <w:szCs w:val="12"/>
                    <w:lang w:val="en-US"/>
                  </w:rPr>
                </w:pPr>
              </w:p>
              <w:p w:rsidR="00502B96" w:rsidRDefault="006F36BA">
                <w:pPr>
                  <w:ind w:right="-740"/>
                  <w:rPr>
                    <w:rFonts w:ascii="Calibri" w:hAnsi="Calibri"/>
                    <w:b/>
                    <w:sz w:val="22"/>
                    <w:szCs w:val="22"/>
                  </w:rPr>
                </w:pPr>
                <w:r>
                  <w:rPr>
                    <w:rFonts w:ascii="Calibri" w:hAnsi="Calibri"/>
                    <w:b/>
                    <w:sz w:val="22"/>
                    <w:szCs w:val="22"/>
                  </w:rPr>
                  <w:t>ΔΙΕΥΘΥΝΣΗ ΚΟΙΝΩΝΙΚΗΣ ΚΑΙ ΑΝΑΠΤΥΞΙΑΚΗΣ ΠΑΙΔΙΑΤΡΙΚΗΣ</w:t>
                </w:r>
              </w:p>
              <w:p w:rsidR="00502B96" w:rsidRDefault="00502B96">
                <w:pPr>
                  <w:rPr>
                    <w:lang w:val="el-GR"/>
                  </w:rPr>
                </w:pPr>
              </w:p>
            </w:txbxContent>
          </v:textbox>
        </v:shape>
      </w:pict>
    </w:r>
    <w:r w:rsidR="000D1E31">
      <w:rPr>
        <w:noProof/>
        <w:lang w:val="en-US" w:eastAsia="en-US"/>
      </w:rPr>
      <w:drawing>
        <wp:inline distT="0" distB="0" distL="0" distR="0">
          <wp:extent cx="695325" cy="6096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96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2B96" w:rsidRDefault="00502B96">
    <w:pPr>
      <w:ind w:left="-284" w:right="-740"/>
      <w:jc w:val="center"/>
      <w:rPr>
        <w:sz w:val="12"/>
        <w:szCs w:val="12"/>
        <w:lang w:val="en-US"/>
      </w:rPr>
    </w:pPr>
  </w:p>
  <w:p w:rsidR="00502B96" w:rsidRDefault="00502B96">
    <w:pPr>
      <w:pStyle w:val="Header"/>
      <w:rPr>
        <w:sz w:val="16"/>
        <w:szCs w:val="16"/>
        <w:lang w:val="el-GR"/>
      </w:rPr>
    </w:pPr>
  </w:p>
  <w:p w:rsidR="00502B96" w:rsidRDefault="006F36BA">
    <w:pPr>
      <w:ind w:right="140"/>
      <w:jc w:val="center"/>
      <w:rPr>
        <w:rFonts w:ascii="Calibri" w:hAnsi="Calibri" w:cs="Tahoma"/>
        <w:b/>
        <w:i/>
        <w:color w:val="2E5CB8"/>
        <w:sz w:val="26"/>
        <w:szCs w:val="26"/>
        <w:lang w:val="el-GR"/>
      </w:rPr>
    </w:pPr>
    <w:r>
      <w:rPr>
        <w:rFonts w:ascii="Calibri" w:hAnsi="Calibri"/>
        <w:sz w:val="22"/>
        <w:szCs w:val="22"/>
        <w:lang w:val="el-GR"/>
      </w:rPr>
      <w:t xml:space="preserve">  </w:t>
    </w:r>
    <w:r>
      <w:rPr>
        <w:rFonts w:ascii="Calibri" w:hAnsi="Calibri" w:cs="Tahoma"/>
        <w:b/>
        <w:i/>
        <w:color w:val="2E5CB8"/>
        <w:sz w:val="26"/>
        <w:szCs w:val="26"/>
        <w:lang w:val="el-GR"/>
      </w:rPr>
      <w:t>«ΑΛΚΥΟΝΗ: ΕΘΝΙΚΗ ΠΡΩΤΟΒΟΥΛΙΑ ΠΡΟΑΓΩΓΗΣ ΤΟΥ ΜΗΤΡΙΚΟΥ ΘΗΛΑΣΜΟΥ»</w:t>
    </w:r>
  </w:p>
  <w:p w:rsidR="00502B96" w:rsidRDefault="00502B96">
    <w:pPr>
      <w:ind w:right="-1"/>
      <w:jc w:val="center"/>
      <w:rPr>
        <w:rFonts w:ascii="Calibri" w:hAnsi="Calibri"/>
        <w:b/>
        <w:i/>
        <w:color w:val="2E5CB8"/>
        <w:sz w:val="12"/>
        <w:szCs w:val="12"/>
        <w:lang w:val="el-GR"/>
      </w:rPr>
    </w:pPr>
  </w:p>
  <w:p w:rsidR="00502B96" w:rsidRDefault="006F36BA">
    <w:pPr>
      <w:pBdr>
        <w:bottom w:val="single" w:sz="4" w:space="1" w:color="000000"/>
      </w:pBdr>
      <w:ind w:left="-851" w:right="-639"/>
      <w:jc w:val="center"/>
      <w:rPr>
        <w:rFonts w:ascii="Calibri" w:hAnsi="Calibri"/>
        <w:sz w:val="22"/>
        <w:szCs w:val="22"/>
        <w:lang w:val="el-GR"/>
      </w:rPr>
    </w:pPr>
    <w:r>
      <w:rPr>
        <w:rFonts w:ascii="Calibri" w:hAnsi="Calibri"/>
        <w:b/>
        <w:sz w:val="22"/>
        <w:szCs w:val="22"/>
        <w:lang w:val="el-GR"/>
      </w:rPr>
      <w:t>Υπεύθυνη έργου</w:t>
    </w:r>
    <w:r>
      <w:rPr>
        <w:rFonts w:ascii="Calibri" w:hAnsi="Calibri"/>
        <w:sz w:val="22"/>
        <w:szCs w:val="22"/>
        <w:lang w:val="el-GR"/>
      </w:rPr>
      <w:t xml:space="preserve">:  Ι. Αντωνιάδου-Κουμάτου, </w:t>
    </w:r>
    <w:r>
      <w:rPr>
        <w:rFonts w:ascii="Calibri" w:hAnsi="Calibri"/>
        <w:sz w:val="22"/>
        <w:szCs w:val="22"/>
        <w:lang w:val="en-US"/>
      </w:rPr>
      <w:t>MD</w:t>
    </w:r>
    <w:r>
      <w:rPr>
        <w:rFonts w:ascii="Calibri" w:hAnsi="Calibri"/>
        <w:sz w:val="22"/>
        <w:szCs w:val="22"/>
        <w:lang w:val="el-GR"/>
      </w:rPr>
      <w:t xml:space="preserve">, </w:t>
    </w:r>
    <w:r>
      <w:rPr>
        <w:rFonts w:ascii="Calibri" w:hAnsi="Calibri"/>
        <w:sz w:val="22"/>
        <w:szCs w:val="22"/>
        <w:lang w:val="en-US"/>
      </w:rPr>
      <w:t>PhD</w:t>
    </w:r>
    <w:r>
      <w:rPr>
        <w:rFonts w:ascii="Calibri" w:hAnsi="Calibri"/>
        <w:sz w:val="22"/>
        <w:szCs w:val="22"/>
        <w:lang w:val="el-GR"/>
      </w:rPr>
      <w:t xml:space="preserve">,  Δ/τρια Κοινωνικής και Αναπτυξιακής Παιδιατρικής, </w:t>
    </w:r>
    <w:r>
      <w:rPr>
        <w:rFonts w:ascii="Calibri" w:hAnsi="Calibri"/>
        <w:sz w:val="22"/>
        <w:szCs w:val="22"/>
        <w:lang w:val="en-US"/>
      </w:rPr>
      <w:t>I</w:t>
    </w:r>
    <w:r>
      <w:rPr>
        <w:rFonts w:ascii="Calibri" w:hAnsi="Calibri"/>
        <w:sz w:val="22"/>
        <w:szCs w:val="22"/>
        <w:lang w:val="el-GR"/>
      </w:rPr>
      <w:t>.</w:t>
    </w:r>
    <w:r>
      <w:rPr>
        <w:rFonts w:ascii="Calibri" w:hAnsi="Calibri"/>
        <w:sz w:val="22"/>
        <w:szCs w:val="22"/>
        <w:lang w:val="en-US"/>
      </w:rPr>
      <w:t>Y</w:t>
    </w:r>
    <w:r>
      <w:rPr>
        <w:rFonts w:ascii="Calibri" w:hAnsi="Calibri"/>
        <w:sz w:val="22"/>
        <w:szCs w:val="22"/>
        <w:lang w:val="el-GR"/>
      </w:rPr>
      <w:t>.Π.</w:t>
    </w:r>
  </w:p>
  <w:p w:rsidR="00502B96" w:rsidRDefault="00502B96">
    <w:pPr>
      <w:pBdr>
        <w:bottom w:val="single" w:sz="4" w:space="1" w:color="000000"/>
      </w:pBdr>
      <w:ind w:left="-851" w:right="-639"/>
      <w:jc w:val="center"/>
      <w:rPr>
        <w:rFonts w:ascii="Calibri" w:hAnsi="Calibri"/>
        <w:sz w:val="22"/>
        <w:szCs w:val="22"/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D1E31"/>
    <w:rsid w:val="000D1E31"/>
    <w:rsid w:val="00190E24"/>
    <w:rsid w:val="002948DE"/>
    <w:rsid w:val="003B34DC"/>
    <w:rsid w:val="003F684B"/>
    <w:rsid w:val="004765B5"/>
    <w:rsid w:val="00502B96"/>
    <w:rsid w:val="006C307C"/>
    <w:rsid w:val="006F36BA"/>
    <w:rsid w:val="008B21C3"/>
    <w:rsid w:val="008C336F"/>
    <w:rsid w:val="009129C3"/>
    <w:rsid w:val="00976721"/>
    <w:rsid w:val="00B36916"/>
    <w:rsid w:val="00BC2FCC"/>
    <w:rsid w:val="00D371C2"/>
    <w:rsid w:val="00ED5C02"/>
    <w:rsid w:val="00EE4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B96"/>
    <w:pPr>
      <w:suppressAutoHyphens/>
    </w:pPr>
    <w:rPr>
      <w:sz w:val="24"/>
      <w:szCs w:val="24"/>
      <w:lang w:val="en-GB" w:eastAsia="ar-SA"/>
    </w:rPr>
  </w:style>
  <w:style w:type="paragraph" w:styleId="Heading1">
    <w:name w:val="heading 1"/>
    <w:basedOn w:val="Normal"/>
    <w:next w:val="Normal"/>
    <w:qFormat/>
    <w:rsid w:val="00502B96"/>
    <w:pPr>
      <w:keepNext/>
      <w:numPr>
        <w:numId w:val="1"/>
      </w:numPr>
      <w:outlineLvl w:val="0"/>
    </w:pPr>
    <w:rPr>
      <w:rFonts w:ascii="Arial" w:hAnsi="Arial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502B96"/>
    <w:pPr>
      <w:keepNext/>
      <w:numPr>
        <w:ilvl w:val="1"/>
        <w:numId w:val="1"/>
      </w:numPr>
      <w:jc w:val="center"/>
      <w:outlineLvl w:val="1"/>
    </w:pPr>
    <w:rPr>
      <w:rFonts w:ascii="Georgia" w:hAnsi="Georgia" w:cs="Arial"/>
      <w:b/>
      <w:bCs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502B96"/>
  </w:style>
  <w:style w:type="character" w:customStyle="1" w:styleId="WW-Absatz-Standardschriftart">
    <w:name w:val="WW-Absatz-Standardschriftart"/>
    <w:rsid w:val="00502B96"/>
  </w:style>
  <w:style w:type="character" w:customStyle="1" w:styleId="WW8Num1z0">
    <w:name w:val="WW8Num1z0"/>
    <w:rsid w:val="00502B96"/>
    <w:rPr>
      <w:rFonts w:cs="Times New Roman"/>
    </w:rPr>
  </w:style>
  <w:style w:type="character" w:customStyle="1" w:styleId="WW8Num2z0">
    <w:name w:val="WW8Num2z0"/>
    <w:rsid w:val="00502B96"/>
    <w:rPr>
      <w:rFonts w:ascii="Symbol" w:hAnsi="Symbol"/>
    </w:rPr>
  </w:style>
  <w:style w:type="character" w:customStyle="1" w:styleId="WW8Num2z1">
    <w:name w:val="WW8Num2z1"/>
    <w:rsid w:val="00502B96"/>
    <w:rPr>
      <w:rFonts w:ascii="Courier New" w:hAnsi="Courier New"/>
    </w:rPr>
  </w:style>
  <w:style w:type="character" w:customStyle="1" w:styleId="WW8Num2z2">
    <w:name w:val="WW8Num2z2"/>
    <w:rsid w:val="00502B96"/>
    <w:rPr>
      <w:rFonts w:ascii="Wingdings" w:hAnsi="Wingdings"/>
    </w:rPr>
  </w:style>
  <w:style w:type="character" w:customStyle="1" w:styleId="WW8Num3z0">
    <w:name w:val="WW8Num3z0"/>
    <w:rsid w:val="00502B96"/>
    <w:rPr>
      <w:rFonts w:ascii="Symbol" w:hAnsi="Symbol"/>
    </w:rPr>
  </w:style>
  <w:style w:type="character" w:customStyle="1" w:styleId="WW8Num3z1">
    <w:name w:val="WW8Num3z1"/>
    <w:rsid w:val="00502B96"/>
    <w:rPr>
      <w:rFonts w:ascii="Courier New" w:hAnsi="Courier New"/>
    </w:rPr>
  </w:style>
  <w:style w:type="character" w:customStyle="1" w:styleId="WW8Num3z2">
    <w:name w:val="WW8Num3z2"/>
    <w:rsid w:val="00502B96"/>
    <w:rPr>
      <w:rFonts w:ascii="Wingdings" w:hAnsi="Wingdings"/>
    </w:rPr>
  </w:style>
  <w:style w:type="character" w:customStyle="1" w:styleId="WW8Num4z0">
    <w:name w:val="WW8Num4z0"/>
    <w:rsid w:val="00502B96"/>
    <w:rPr>
      <w:rFonts w:cs="Times New Roman"/>
    </w:rPr>
  </w:style>
  <w:style w:type="character" w:customStyle="1" w:styleId="WW8Num5z0">
    <w:name w:val="WW8Num5z0"/>
    <w:rsid w:val="00502B96"/>
    <w:rPr>
      <w:rFonts w:cs="Times New Roman"/>
    </w:rPr>
  </w:style>
  <w:style w:type="character" w:customStyle="1" w:styleId="WW8Num6z0">
    <w:name w:val="WW8Num6z0"/>
    <w:rsid w:val="00502B96"/>
    <w:rPr>
      <w:rFonts w:cs="Times New Roman"/>
    </w:rPr>
  </w:style>
  <w:style w:type="character" w:customStyle="1" w:styleId="WW8Num7z0">
    <w:name w:val="WW8Num7z0"/>
    <w:rsid w:val="00502B96"/>
    <w:rPr>
      <w:rFonts w:cs="Times New Roman"/>
    </w:rPr>
  </w:style>
  <w:style w:type="character" w:customStyle="1" w:styleId="WW8Num8z0">
    <w:name w:val="WW8Num8z0"/>
    <w:rsid w:val="00502B96"/>
    <w:rPr>
      <w:rFonts w:ascii="Symbol" w:hAnsi="Symbol"/>
    </w:rPr>
  </w:style>
  <w:style w:type="character" w:customStyle="1" w:styleId="WW8Num8z1">
    <w:name w:val="WW8Num8z1"/>
    <w:rsid w:val="00502B96"/>
    <w:rPr>
      <w:rFonts w:cs="Times New Roman"/>
    </w:rPr>
  </w:style>
  <w:style w:type="character" w:customStyle="1" w:styleId="WW8Num8z2">
    <w:name w:val="WW8Num8z2"/>
    <w:rsid w:val="00502B96"/>
    <w:rPr>
      <w:rFonts w:ascii="Wingdings" w:hAnsi="Wingdings"/>
    </w:rPr>
  </w:style>
  <w:style w:type="character" w:customStyle="1" w:styleId="WW8Num8z4">
    <w:name w:val="WW8Num8z4"/>
    <w:rsid w:val="00502B96"/>
    <w:rPr>
      <w:rFonts w:ascii="Courier New" w:hAnsi="Courier New"/>
    </w:rPr>
  </w:style>
  <w:style w:type="character" w:customStyle="1" w:styleId="WW8Num9z0">
    <w:name w:val="WW8Num9z0"/>
    <w:rsid w:val="00502B96"/>
    <w:rPr>
      <w:rFonts w:ascii="Symbol" w:hAnsi="Symbol"/>
    </w:rPr>
  </w:style>
  <w:style w:type="character" w:customStyle="1" w:styleId="WW8Num9z1">
    <w:name w:val="WW8Num9z1"/>
    <w:rsid w:val="00502B96"/>
    <w:rPr>
      <w:rFonts w:ascii="Courier New" w:hAnsi="Courier New"/>
    </w:rPr>
  </w:style>
  <w:style w:type="character" w:customStyle="1" w:styleId="WW8Num9z2">
    <w:name w:val="WW8Num9z2"/>
    <w:rsid w:val="00502B96"/>
    <w:rPr>
      <w:rFonts w:ascii="Wingdings" w:hAnsi="Wingdings"/>
    </w:rPr>
  </w:style>
  <w:style w:type="character" w:customStyle="1" w:styleId="WW8Num10z0">
    <w:name w:val="WW8Num10z0"/>
    <w:rsid w:val="00502B96"/>
    <w:rPr>
      <w:rFonts w:ascii="Symbol" w:hAnsi="Symbol"/>
    </w:rPr>
  </w:style>
  <w:style w:type="character" w:customStyle="1" w:styleId="WW8Num10z1">
    <w:name w:val="WW8Num10z1"/>
    <w:rsid w:val="00502B96"/>
    <w:rPr>
      <w:rFonts w:cs="Times New Roman"/>
    </w:rPr>
  </w:style>
  <w:style w:type="character" w:customStyle="1" w:styleId="WW8Num10z2">
    <w:name w:val="WW8Num10z2"/>
    <w:rsid w:val="00502B96"/>
    <w:rPr>
      <w:rFonts w:ascii="Wingdings" w:hAnsi="Wingdings"/>
    </w:rPr>
  </w:style>
  <w:style w:type="character" w:customStyle="1" w:styleId="WW8Num10z4">
    <w:name w:val="WW8Num10z4"/>
    <w:rsid w:val="00502B96"/>
    <w:rPr>
      <w:rFonts w:ascii="Courier New" w:hAnsi="Courier New"/>
    </w:rPr>
  </w:style>
  <w:style w:type="character" w:customStyle="1" w:styleId="WW8Num11z0">
    <w:name w:val="WW8Num11z0"/>
    <w:rsid w:val="00502B96"/>
    <w:rPr>
      <w:rFonts w:cs="Times New Roman"/>
    </w:rPr>
  </w:style>
  <w:style w:type="character" w:customStyle="1" w:styleId="WW8Num12z0">
    <w:name w:val="WW8Num12z0"/>
    <w:rsid w:val="00502B96"/>
    <w:rPr>
      <w:rFonts w:cs="Times New Roman"/>
    </w:rPr>
  </w:style>
  <w:style w:type="character" w:customStyle="1" w:styleId="WW8Num13z0">
    <w:name w:val="WW8Num13z0"/>
    <w:rsid w:val="00502B96"/>
    <w:rPr>
      <w:rFonts w:ascii="Symbol" w:hAnsi="Symbol"/>
    </w:rPr>
  </w:style>
  <w:style w:type="character" w:customStyle="1" w:styleId="WW8Num13z1">
    <w:name w:val="WW8Num13z1"/>
    <w:rsid w:val="00502B96"/>
    <w:rPr>
      <w:rFonts w:cs="Times New Roman"/>
    </w:rPr>
  </w:style>
  <w:style w:type="character" w:customStyle="1" w:styleId="WW8Num13z2">
    <w:name w:val="WW8Num13z2"/>
    <w:rsid w:val="00502B96"/>
    <w:rPr>
      <w:rFonts w:ascii="Wingdings" w:hAnsi="Wingdings"/>
    </w:rPr>
  </w:style>
  <w:style w:type="character" w:customStyle="1" w:styleId="WW8Num13z4">
    <w:name w:val="WW8Num13z4"/>
    <w:rsid w:val="00502B96"/>
    <w:rPr>
      <w:rFonts w:ascii="Courier New" w:hAnsi="Courier New"/>
    </w:rPr>
  </w:style>
  <w:style w:type="character" w:customStyle="1" w:styleId="WW8Num14z0">
    <w:name w:val="WW8Num14z0"/>
    <w:rsid w:val="00502B96"/>
    <w:rPr>
      <w:rFonts w:ascii="Courier New" w:hAnsi="Courier New"/>
    </w:rPr>
  </w:style>
  <w:style w:type="character" w:customStyle="1" w:styleId="WW8Num14z2">
    <w:name w:val="WW8Num14z2"/>
    <w:rsid w:val="00502B96"/>
    <w:rPr>
      <w:rFonts w:ascii="Wingdings" w:hAnsi="Wingdings"/>
    </w:rPr>
  </w:style>
  <w:style w:type="character" w:customStyle="1" w:styleId="WW8Num14z3">
    <w:name w:val="WW8Num14z3"/>
    <w:rsid w:val="00502B96"/>
    <w:rPr>
      <w:rFonts w:ascii="Symbol" w:hAnsi="Symbol"/>
    </w:rPr>
  </w:style>
  <w:style w:type="character" w:customStyle="1" w:styleId="Heading1Char">
    <w:name w:val="Heading 1 Char"/>
    <w:basedOn w:val="DefaultParagraphFont"/>
    <w:rsid w:val="00502B96"/>
    <w:rPr>
      <w:rFonts w:ascii="Cambria" w:hAnsi="Cambria" w:cs="Times New Roman"/>
      <w:b/>
      <w:bCs/>
      <w:kern w:val="1"/>
      <w:sz w:val="32"/>
      <w:szCs w:val="32"/>
      <w:lang w:val="en-GB"/>
    </w:rPr>
  </w:style>
  <w:style w:type="character" w:customStyle="1" w:styleId="Heading2Char">
    <w:name w:val="Heading 2 Char"/>
    <w:basedOn w:val="DefaultParagraphFont"/>
    <w:rsid w:val="00502B96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styleId="Hyperlink">
    <w:name w:val="Hyperlink"/>
    <w:basedOn w:val="DefaultParagraphFont"/>
    <w:rsid w:val="00502B9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502B96"/>
    <w:rPr>
      <w:rFonts w:cs="Times New Roman"/>
      <w:color w:val="800080"/>
      <w:u w:val="single"/>
    </w:rPr>
  </w:style>
  <w:style w:type="character" w:customStyle="1" w:styleId="BodyTextChar">
    <w:name w:val="Body Text Char"/>
    <w:basedOn w:val="DefaultParagraphFont"/>
    <w:rsid w:val="00502B96"/>
    <w:rPr>
      <w:rFonts w:cs="Times New Roman"/>
      <w:b/>
      <w:sz w:val="24"/>
    </w:rPr>
  </w:style>
  <w:style w:type="character" w:customStyle="1" w:styleId="BodyTextIndentChar">
    <w:name w:val="Body Text Indent Char"/>
    <w:basedOn w:val="DefaultParagraphFont"/>
    <w:rsid w:val="00502B96"/>
    <w:rPr>
      <w:rFonts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rsid w:val="00502B96"/>
    <w:rPr>
      <w:rFonts w:cs="Times New Roman"/>
      <w:sz w:val="24"/>
      <w:szCs w:val="24"/>
    </w:rPr>
  </w:style>
  <w:style w:type="character" w:customStyle="1" w:styleId="HeaderChar">
    <w:name w:val="Header Char"/>
    <w:basedOn w:val="DefaultParagraphFont"/>
    <w:rsid w:val="00502B96"/>
    <w:rPr>
      <w:rFonts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rsid w:val="00502B96"/>
    <w:rPr>
      <w:rFonts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502B96"/>
    <w:rPr>
      <w:rFonts w:cs="Times New Roman"/>
    </w:rPr>
  </w:style>
  <w:style w:type="character" w:customStyle="1" w:styleId="BalloonTextChar">
    <w:name w:val="Balloon Text Char"/>
    <w:basedOn w:val="DefaultParagraphFont"/>
    <w:rsid w:val="00502B96"/>
    <w:rPr>
      <w:rFonts w:ascii="Tahoma" w:hAnsi="Tahoma" w:cs="Tahoma"/>
      <w:sz w:val="16"/>
      <w:szCs w:val="16"/>
      <w:lang w:val="en-GB"/>
    </w:rPr>
  </w:style>
  <w:style w:type="paragraph" w:customStyle="1" w:styleId="Heading">
    <w:name w:val="Heading"/>
    <w:basedOn w:val="Normal"/>
    <w:next w:val="BodyText"/>
    <w:rsid w:val="00502B9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502B96"/>
    <w:pPr>
      <w:spacing w:after="120"/>
      <w:jc w:val="center"/>
    </w:pPr>
    <w:rPr>
      <w:b/>
      <w:szCs w:val="20"/>
      <w:lang w:val="el-GR"/>
    </w:rPr>
  </w:style>
  <w:style w:type="paragraph" w:styleId="List">
    <w:name w:val="List"/>
    <w:basedOn w:val="BodyText"/>
    <w:rsid w:val="00502B96"/>
    <w:rPr>
      <w:rFonts w:cs="Mangal"/>
    </w:rPr>
  </w:style>
  <w:style w:type="paragraph" w:styleId="Caption">
    <w:name w:val="caption"/>
    <w:basedOn w:val="Normal"/>
    <w:qFormat/>
    <w:rsid w:val="00502B9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502B96"/>
    <w:pPr>
      <w:suppressLineNumbers/>
    </w:pPr>
    <w:rPr>
      <w:rFonts w:cs="Mangal"/>
    </w:rPr>
  </w:style>
  <w:style w:type="paragraph" w:styleId="BodyTextIndent">
    <w:name w:val="Body Text Indent"/>
    <w:basedOn w:val="Normal"/>
    <w:rsid w:val="00502B96"/>
    <w:pPr>
      <w:spacing w:after="120"/>
      <w:ind w:left="283"/>
    </w:pPr>
    <w:rPr>
      <w:lang w:val="el-GR"/>
    </w:rPr>
  </w:style>
  <w:style w:type="paragraph" w:styleId="BodyTextIndent2">
    <w:name w:val="Body Text Indent 2"/>
    <w:basedOn w:val="Normal"/>
    <w:rsid w:val="00502B96"/>
    <w:pPr>
      <w:spacing w:after="120" w:line="480" w:lineRule="auto"/>
      <w:ind w:left="283"/>
    </w:pPr>
    <w:rPr>
      <w:lang w:val="el-GR"/>
    </w:rPr>
  </w:style>
  <w:style w:type="paragraph" w:styleId="Header">
    <w:name w:val="header"/>
    <w:basedOn w:val="Normal"/>
    <w:rsid w:val="00502B96"/>
  </w:style>
  <w:style w:type="paragraph" w:styleId="Footer">
    <w:name w:val="footer"/>
    <w:basedOn w:val="Normal"/>
    <w:rsid w:val="00502B96"/>
  </w:style>
  <w:style w:type="paragraph" w:customStyle="1" w:styleId="Char">
    <w:name w:val="Char"/>
    <w:basedOn w:val="Normal"/>
    <w:rsid w:val="00502B96"/>
    <w:pPr>
      <w:spacing w:after="160" w:line="240" w:lineRule="exact"/>
      <w:jc w:val="both"/>
    </w:pPr>
    <w:rPr>
      <w:rFonts w:ascii="Verdana" w:hAnsi="Verdana"/>
      <w:sz w:val="20"/>
      <w:szCs w:val="20"/>
      <w:lang w:val="en-US"/>
    </w:rPr>
  </w:style>
  <w:style w:type="paragraph" w:customStyle="1" w:styleId="21">
    <w:name w:val="Σώμα κείμενου με εσοχή 21"/>
    <w:basedOn w:val="Normal"/>
    <w:rsid w:val="00502B96"/>
    <w:pPr>
      <w:widowControl w:val="0"/>
      <w:spacing w:line="360" w:lineRule="auto"/>
      <w:ind w:left="720"/>
      <w:jc w:val="both"/>
    </w:pPr>
    <w:rPr>
      <w:rFonts w:ascii="Tahoma" w:hAnsi="Tahoma" w:cs="Tahoma"/>
      <w:sz w:val="22"/>
      <w:lang w:val="el-GR"/>
    </w:rPr>
  </w:style>
  <w:style w:type="paragraph" w:styleId="BalloonText">
    <w:name w:val="Balloon Text"/>
    <w:basedOn w:val="Normal"/>
    <w:rsid w:val="00502B96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502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6.emf"/><Relationship Id="rId2" Type="http://schemas.openxmlformats.org/officeDocument/2006/relationships/hyperlink" Target="mailto:inchildh@otenet.gr" TargetMode="External"/><Relationship Id="rId1" Type="http://schemas.openxmlformats.org/officeDocument/2006/relationships/hyperlink" Target="mailto:alkyoni.thilasmos@ich.gr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emf"/><Relationship Id="rId4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Company>TOSHIBA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ΣΥΜΒΑΣΗ ΑΝΑΘΕΣΗΣ ΕΡΓΟΥ</dc:title>
  <dc:creator>ICH</dc:creator>
  <cp:lastModifiedBy>quest</cp:lastModifiedBy>
  <cp:revision>4</cp:revision>
  <cp:lastPrinted>2013-05-27T05:23:00Z</cp:lastPrinted>
  <dcterms:created xsi:type="dcterms:W3CDTF">2013-05-27T10:40:00Z</dcterms:created>
  <dcterms:modified xsi:type="dcterms:W3CDTF">2013-06-07T08:05:00Z</dcterms:modified>
</cp:coreProperties>
</file>