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390" w:rsidRDefault="00AB1390" w:rsidP="00AB1390">
      <w:pPr>
        <w:spacing w:line="360" w:lineRule="auto"/>
        <w:ind w:left="1440" w:firstLine="720"/>
        <w:jc w:val="right"/>
        <w:rPr>
          <w:rFonts w:asciiTheme="minorHAnsi" w:hAnsiTheme="minorHAnsi" w:cstheme="minorHAnsi"/>
          <w:i/>
          <w:sz w:val="22"/>
          <w:szCs w:val="22"/>
        </w:rPr>
      </w:pPr>
    </w:p>
    <w:p w:rsidR="00AB1390" w:rsidRDefault="00AB1390" w:rsidP="00AB1390">
      <w:pPr>
        <w:spacing w:line="360" w:lineRule="auto"/>
        <w:ind w:left="1440" w:firstLine="720"/>
        <w:jc w:val="right"/>
        <w:rPr>
          <w:rFonts w:asciiTheme="minorHAnsi" w:hAnsiTheme="minorHAnsi" w:cstheme="minorHAnsi"/>
          <w:i/>
          <w:sz w:val="22"/>
          <w:szCs w:val="22"/>
        </w:rPr>
      </w:pPr>
    </w:p>
    <w:p w:rsidR="00AB1390" w:rsidRDefault="00AB1390" w:rsidP="00AB1390">
      <w:pPr>
        <w:spacing w:line="360" w:lineRule="auto"/>
        <w:ind w:left="1440" w:firstLine="720"/>
        <w:jc w:val="right"/>
        <w:rPr>
          <w:rFonts w:asciiTheme="minorHAnsi" w:hAnsiTheme="minorHAnsi" w:cstheme="minorHAnsi"/>
          <w:i/>
          <w:sz w:val="22"/>
          <w:szCs w:val="22"/>
        </w:rPr>
      </w:pPr>
    </w:p>
    <w:p w:rsidR="00AB1390" w:rsidRDefault="00AB1390" w:rsidP="00AB1390">
      <w:pPr>
        <w:spacing w:line="360" w:lineRule="auto"/>
        <w:ind w:left="1440" w:firstLine="720"/>
        <w:jc w:val="right"/>
        <w:rPr>
          <w:rFonts w:asciiTheme="minorHAnsi" w:hAnsiTheme="minorHAnsi" w:cstheme="minorHAnsi"/>
          <w:i/>
          <w:sz w:val="22"/>
          <w:szCs w:val="22"/>
        </w:rPr>
      </w:pPr>
    </w:p>
    <w:p w:rsidR="00AB1390" w:rsidRDefault="00AB1390" w:rsidP="00AB1390">
      <w:pPr>
        <w:spacing w:line="360" w:lineRule="auto"/>
        <w:ind w:left="1440" w:firstLine="720"/>
        <w:jc w:val="right"/>
        <w:rPr>
          <w:rFonts w:asciiTheme="minorHAnsi" w:hAnsiTheme="minorHAnsi" w:cstheme="minorHAnsi"/>
          <w:i/>
          <w:sz w:val="22"/>
          <w:szCs w:val="22"/>
        </w:rPr>
      </w:pPr>
      <w:bookmarkStart w:id="0" w:name="_GoBack"/>
      <w:bookmarkEnd w:id="0"/>
    </w:p>
    <w:p w:rsidR="00AB1390" w:rsidRDefault="00AB1390" w:rsidP="00AB1390">
      <w:pPr>
        <w:spacing w:line="360" w:lineRule="auto"/>
        <w:ind w:left="1440" w:firstLine="720"/>
        <w:jc w:val="right"/>
        <w:rPr>
          <w:rFonts w:asciiTheme="minorHAnsi" w:hAnsiTheme="minorHAnsi" w:cstheme="minorHAnsi"/>
          <w:i/>
          <w:sz w:val="22"/>
          <w:szCs w:val="22"/>
          <w:lang w:val="el-GR"/>
        </w:rPr>
      </w:pPr>
      <w:r>
        <w:rPr>
          <w:rFonts w:asciiTheme="minorHAnsi" w:hAnsiTheme="minorHAnsi" w:cstheme="minorHAnsi"/>
          <w:i/>
          <w:sz w:val="22"/>
          <w:szCs w:val="22"/>
          <w:lang w:val="el-GR"/>
        </w:rPr>
        <w:t>Αθήνα, 23/8/2013</w:t>
      </w:r>
    </w:p>
    <w:p w:rsidR="00AB1390" w:rsidRDefault="00AB1390" w:rsidP="00AB1390">
      <w:pPr>
        <w:spacing w:line="360" w:lineRule="auto"/>
        <w:jc w:val="center"/>
        <w:rPr>
          <w:rFonts w:asciiTheme="minorHAnsi" w:hAnsiTheme="minorHAnsi" w:cstheme="minorHAnsi"/>
          <w:b/>
          <w:u w:val="single"/>
          <w:lang w:val="el-GR"/>
        </w:rPr>
      </w:pPr>
      <w:r>
        <w:rPr>
          <w:rFonts w:asciiTheme="minorHAnsi" w:hAnsiTheme="minorHAnsi" w:cstheme="minorHAnsi"/>
          <w:b/>
          <w:u w:val="single"/>
          <w:lang w:val="el-GR"/>
        </w:rPr>
        <w:t>ΔΕΛΤΙΟ ΤΥΠΟΥ</w:t>
      </w:r>
    </w:p>
    <w:p w:rsidR="00AB1390" w:rsidRDefault="00AB1390" w:rsidP="00AB1390">
      <w:pPr>
        <w:spacing w:line="360"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Την ανάκληση και της δεύτερης, διορθωτικής, Εγκυκλίου του ΕΟΠΥΥ με Α.Π.27361/22.8.2013, με την οποία αφαιρείται το δικαίωμα </w:t>
      </w:r>
      <w:proofErr w:type="spellStart"/>
      <w:r>
        <w:rPr>
          <w:rFonts w:asciiTheme="minorHAnsi" w:hAnsiTheme="minorHAnsi" w:cstheme="minorHAnsi"/>
          <w:sz w:val="22"/>
          <w:szCs w:val="22"/>
          <w:lang w:val="el-GR"/>
        </w:rPr>
        <w:t>συνταγογράφησης</w:t>
      </w:r>
      <w:proofErr w:type="spellEnd"/>
      <w:r>
        <w:rPr>
          <w:rFonts w:asciiTheme="minorHAnsi" w:hAnsiTheme="minorHAnsi" w:cstheme="minorHAnsi"/>
          <w:sz w:val="22"/>
          <w:szCs w:val="22"/>
          <w:lang w:val="el-GR"/>
        </w:rPr>
        <w:t xml:space="preserve"> του ιατρού για ασφαλισμένους του Οργανισμού, στην περίπτωση που αναγραφεί η εμπορική ονομασία του φαρμάκου στο βιβλιάριο του ασθενούς, ζητεί ο Πανελλήνιος Ιατρικός Σύλλογος. </w:t>
      </w:r>
    </w:p>
    <w:p w:rsidR="00AB1390" w:rsidRDefault="00AB1390" w:rsidP="00AB1390">
      <w:pPr>
        <w:spacing w:line="360" w:lineRule="auto"/>
        <w:rPr>
          <w:rFonts w:asciiTheme="minorHAnsi" w:hAnsiTheme="minorHAnsi" w:cstheme="minorHAnsi"/>
          <w:sz w:val="22"/>
          <w:szCs w:val="22"/>
          <w:lang w:val="el-GR"/>
        </w:rPr>
      </w:pPr>
    </w:p>
    <w:p w:rsidR="00AB1390" w:rsidRDefault="00AB1390" w:rsidP="00AB1390">
      <w:pPr>
        <w:spacing w:line="360"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Ο Πανελλήνιος Ιατρικός Σύλλογος εμμένει στην αρχική του θέση, καθώς θεωρεί ότι ουδεμία ουσιαστική διαφορά υπάρχει μεταξύ των δύο Εγκυκλίων που εκδόθηκαν, με διαφορά δύο ημερών, από τον ΕΟΠΥΥ. Η ιατρική ευθύνη εκχωρείται σε πρόσωπα αναρμόδια να λάβουν αποφάσεις για τη θεραπεία των ασθενών, με </w:t>
      </w:r>
      <w:proofErr w:type="spellStart"/>
      <w:r>
        <w:rPr>
          <w:rFonts w:asciiTheme="minorHAnsi" w:hAnsiTheme="minorHAnsi" w:cstheme="minorHAnsi"/>
          <w:sz w:val="22"/>
          <w:szCs w:val="22"/>
          <w:lang w:val="el-GR"/>
        </w:rPr>
        <w:t>ό,τι</w:t>
      </w:r>
      <w:proofErr w:type="spellEnd"/>
      <w:r>
        <w:rPr>
          <w:rFonts w:asciiTheme="minorHAnsi" w:hAnsiTheme="minorHAnsi" w:cstheme="minorHAnsi"/>
          <w:sz w:val="22"/>
          <w:szCs w:val="22"/>
          <w:lang w:val="el-GR"/>
        </w:rPr>
        <w:t xml:space="preserve"> αυτό σημαίνει για τη δημόσια υγεία. Η υποκρισία έχει και τα όριά της, απ’ όπου κι αν προέρχεται και οι αντιφατικές οδηγίες από το Υπουργείο Υγείας και  τη διοίκηση του ΕΟΠΥΥ θα πρέπει να τελειώσουν,  γιατί είναι σε βάρος της υγείας των πολιτών.</w:t>
      </w:r>
    </w:p>
    <w:p w:rsidR="00AB1390" w:rsidRDefault="00AB1390" w:rsidP="00AB1390">
      <w:pPr>
        <w:spacing w:line="360" w:lineRule="auto"/>
        <w:rPr>
          <w:rFonts w:asciiTheme="minorHAnsi" w:hAnsiTheme="minorHAnsi" w:cstheme="minorHAnsi"/>
          <w:sz w:val="22"/>
          <w:szCs w:val="22"/>
          <w:lang w:val="el-GR"/>
        </w:rPr>
      </w:pPr>
    </w:p>
    <w:p w:rsidR="00AB1390" w:rsidRDefault="00AB1390" w:rsidP="00AB1390">
      <w:pPr>
        <w:spacing w:line="360"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Ως ιατροί δεν θα επιτρέψουμε σε κανέναν να θυσιάσει έμμεσα ή άμεσα ανθρώπινες ζωές στο βωμό του Μνημονίου. </w:t>
      </w:r>
    </w:p>
    <w:p w:rsidR="00AB1390" w:rsidRDefault="00AB1390" w:rsidP="00AB1390">
      <w:pPr>
        <w:spacing w:line="360" w:lineRule="auto"/>
        <w:jc w:val="both"/>
        <w:rPr>
          <w:rFonts w:asciiTheme="minorHAnsi" w:hAnsiTheme="minorHAnsi" w:cstheme="minorHAnsi"/>
          <w:sz w:val="22"/>
          <w:szCs w:val="22"/>
          <w:lang w:val="el-GR"/>
        </w:rPr>
      </w:pPr>
    </w:p>
    <w:p w:rsidR="00AB1390" w:rsidRDefault="00AB1390" w:rsidP="00AB1390">
      <w:pPr>
        <w:spacing w:line="360" w:lineRule="auto"/>
        <w:jc w:val="both"/>
        <w:rPr>
          <w:rFonts w:asciiTheme="minorHAnsi" w:hAnsiTheme="minorHAnsi" w:cstheme="minorHAnsi"/>
          <w:b/>
          <w:sz w:val="22"/>
          <w:szCs w:val="22"/>
          <w:lang w:val="el-GR"/>
        </w:rPr>
      </w:pPr>
      <w:r>
        <w:rPr>
          <w:rFonts w:asciiTheme="minorHAnsi" w:hAnsiTheme="minorHAnsi" w:cstheme="minorHAnsi"/>
          <w:sz w:val="22"/>
          <w:szCs w:val="22"/>
          <w:lang w:val="el-GR"/>
        </w:rPr>
        <w:t xml:space="preserve"> </w:t>
      </w:r>
      <w:r>
        <w:rPr>
          <w:rFonts w:asciiTheme="minorHAnsi" w:hAnsiTheme="minorHAnsi" w:cstheme="minorHAnsi"/>
          <w:b/>
          <w:sz w:val="22"/>
          <w:szCs w:val="22"/>
          <w:lang w:val="el-GR"/>
        </w:rPr>
        <w:t xml:space="preserve">Καλούμε τους ιατρούς - μέλη μας να συνεχίσουν να αναγράφουν παράλληλα με τη δραστική και την εμπορική ονομασία του φαρμάκου στο οποίο έχουν εμπιστοσύνη, τόσο στα σχόλια της συνταγής, όσο και στο βιβλιάριο του ασθενή. </w:t>
      </w:r>
    </w:p>
    <w:p w:rsidR="00AB1390" w:rsidRDefault="00AB1390" w:rsidP="00AB1390">
      <w:pPr>
        <w:spacing w:line="360" w:lineRule="auto"/>
        <w:jc w:val="both"/>
        <w:rPr>
          <w:rFonts w:asciiTheme="minorHAnsi" w:hAnsiTheme="minorHAnsi" w:cstheme="minorHAnsi"/>
          <w:b/>
          <w:sz w:val="22"/>
          <w:szCs w:val="22"/>
          <w:lang w:val="el-GR"/>
        </w:rPr>
      </w:pPr>
      <w:r>
        <w:rPr>
          <w:rFonts w:asciiTheme="minorHAnsi" w:hAnsiTheme="minorHAnsi" w:cstheme="minorHAnsi"/>
          <w:b/>
          <w:sz w:val="22"/>
          <w:szCs w:val="22"/>
          <w:lang w:val="el-GR"/>
        </w:rPr>
        <w:t xml:space="preserve">Η συνιστώμενη αγωγή, όπως ο νόμος ορίζει, είναι έργο αποκλειστικά του ιατρού διότι οι ιατροί έχουν την αποκλειστική ευθύνη της περίθαλψης των ασθενών.  </w:t>
      </w:r>
    </w:p>
    <w:p w:rsidR="00AB1390" w:rsidRDefault="00AB1390" w:rsidP="00AB1390">
      <w:pPr>
        <w:spacing w:line="360" w:lineRule="auto"/>
        <w:jc w:val="both"/>
        <w:rPr>
          <w:rFonts w:asciiTheme="minorHAnsi" w:hAnsiTheme="minorHAnsi" w:cstheme="minorHAnsi"/>
          <w:sz w:val="22"/>
          <w:szCs w:val="22"/>
          <w:lang w:val="el-GR"/>
        </w:rPr>
      </w:pPr>
    </w:p>
    <w:p w:rsidR="00AB1390" w:rsidRDefault="00AB1390" w:rsidP="00AB1390">
      <w:pPr>
        <w:spacing w:line="360"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Για τον Π.Ι.Σ.</w:t>
      </w:r>
    </w:p>
    <w:p w:rsidR="00AB1390" w:rsidRDefault="00AB1390" w:rsidP="00AB1390">
      <w:pPr>
        <w:spacing w:line="360"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Ο Πρόεδρος</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Ο Γεν. Γραμματέας</w:t>
      </w:r>
    </w:p>
    <w:p w:rsidR="00713E80" w:rsidRPr="00AB1390" w:rsidRDefault="00AB1390" w:rsidP="00AB1390">
      <w:pPr>
        <w:spacing w:line="360" w:lineRule="auto"/>
        <w:jc w:val="center"/>
        <w:rPr>
          <w:lang w:val="el-GR"/>
        </w:rPr>
      </w:pPr>
      <w:r>
        <w:rPr>
          <w:rFonts w:asciiTheme="minorHAnsi" w:hAnsiTheme="minorHAnsi" w:cstheme="minorHAnsi"/>
          <w:b/>
          <w:sz w:val="22"/>
          <w:szCs w:val="22"/>
          <w:lang w:val="el-GR"/>
        </w:rPr>
        <w:t>ΜΙΧΑΗΛ Π. ΒΛΑΣΤΑΡΑΚΟΣ</w:t>
      </w:r>
      <w:r>
        <w:rPr>
          <w:rFonts w:asciiTheme="minorHAnsi" w:hAnsiTheme="minorHAnsi" w:cstheme="minorHAnsi"/>
          <w:b/>
          <w:sz w:val="22"/>
          <w:szCs w:val="22"/>
          <w:lang w:val="el-GR"/>
        </w:rPr>
        <w:tab/>
      </w:r>
      <w:r>
        <w:rPr>
          <w:rFonts w:asciiTheme="minorHAnsi" w:hAnsiTheme="minorHAnsi" w:cstheme="minorHAnsi"/>
          <w:b/>
          <w:sz w:val="22"/>
          <w:szCs w:val="22"/>
          <w:lang w:val="el-GR"/>
        </w:rPr>
        <w:tab/>
      </w:r>
      <w:r w:rsidRPr="00AB1390">
        <w:rPr>
          <w:rFonts w:asciiTheme="minorHAnsi" w:hAnsiTheme="minorHAnsi" w:cstheme="minorHAnsi"/>
          <w:b/>
          <w:sz w:val="22"/>
          <w:szCs w:val="22"/>
          <w:lang w:val="el-GR"/>
        </w:rPr>
        <w:t xml:space="preserve">                    </w:t>
      </w:r>
      <w:r>
        <w:rPr>
          <w:rFonts w:asciiTheme="minorHAnsi" w:hAnsiTheme="minorHAnsi" w:cstheme="minorHAnsi"/>
          <w:b/>
          <w:sz w:val="22"/>
          <w:szCs w:val="22"/>
          <w:lang w:val="el-GR"/>
        </w:rPr>
        <w:t>ΚΩΣΤΑΣ Ι. ΑΛΕΞΑΝΔΡΟΠΟΥΛΟΣ</w:t>
      </w:r>
    </w:p>
    <w:sectPr w:rsidR="00713E80" w:rsidRPr="00AB13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390"/>
    <w:rsid w:val="00713E80"/>
    <w:rsid w:val="00AB13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39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39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06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extdept_B</dc:creator>
  <cp:lastModifiedBy>extdept_B</cp:lastModifiedBy>
  <cp:revision>1</cp:revision>
  <cp:lastPrinted>2013-08-23T09:19:00Z</cp:lastPrinted>
  <dcterms:created xsi:type="dcterms:W3CDTF">2013-08-23T09:19:00Z</dcterms:created>
  <dcterms:modified xsi:type="dcterms:W3CDTF">2013-08-23T09:20:00Z</dcterms:modified>
</cp:coreProperties>
</file>